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https://www.autoritedelaconcurrence.fr/fr/decision-de-controle-des-concentrations/relative-laffiliation-de-linstitution-de-prevoyance-apgis</w:t>
      </w:r>
    </w:p>
    <w:p>
      <w:r>
        <w:t>Pages translated : 6</w:t>
      </w:r>
    </w:p>
    <w:p/>
    <w:p>
      <w:r>
        <w:rPr>
          <w:b/>
        </w:rPr>
        <w:t>[Pages 1–3]</w:t>
      </w:r>
    </w:p>
    <w:p>
      <w:r>
        <w:t xml:space="preserve">FRENCH REPUBLIC  </w:t>
        <w:br/>
        <w:t xml:space="preserve">Decision No. 11-DCC-97 of June 29, 2011  </w:t>
        <w:br/>
        <w:t>regarding the affiliation of the provident institution Apgis to the mutual insurance group Covéa</w:t>
      </w:r>
    </w:p>
    <w:p>
      <w:r>
        <w:t xml:space="preserve">The Competition Authority,  </w:t>
        <w:br/>
        <w:t xml:space="preserve">Having regard to the notification file submitted in full to the concentrations service on May 24, 2011, regarding the affiliation of the provident institution Apgis to the mutual insurance group Covéa (hereinafter "Covéa"), formalized by a draft affiliation agreement to be concluded between Apgis and Covéa, approved by the boards of directors of Apgis on March 31, 2011, and of Covéa on April 4, 2011;  </w:t>
        <w:br/>
        <w:t xml:space="preserve">Having regard to Book IV of the Commercial Code relating to the freedom of prices and competition, and in particular its Articles L. 430-1 to L. 430-10;  </w:t>
        <w:br/>
        <w:t xml:space="preserve">Having regard to the supplementary elements transmitted by the parties during the investigation;  </w:t>
        <w:br/>
        <w:t>Adopts the following decision:</w:t>
      </w:r>
    </w:p>
    <w:p>
      <w:r>
        <w:t xml:space="preserve">I. The concerned companies and the operation  </w:t>
        <w:br/>
        <w:t xml:space="preserve">A. THE CONCERNED COMPANIES  </w:t>
        <w:br/>
        <w:t xml:space="preserve">1. Covéa is a mutual insurance group company ("SGAM") whose main activity consists, in accordance with the provisions of Article L. 322-1-2 of the Insurance Code, of taking and managing stakes in insurance or reinsurance companies or establishing and managing significant and lasting solidarity links with mutuals, provident institutions, mutual insurance companies, or insurance or reinsurance companies in mutual or cooperative form or managed jointly.  </w:t>
        <w:br/>
        <w:t>2. In accordance with the provisions of Article L. 322-1-3 of the Insurance Code, the SGAM Covéa maintains significant and lasting financial solidarity links that do not result from financial stakes with the companies affiliated to it and their subsidiaries (the set formed by these companies and the SGAM Covéa hereinafter referred to as the "Covéa group"). The SGAM Covéa is thus linked by affiliation agreements with the following nine companies:</w:t>
      </w:r>
    </w:p>
    <w:p>
      <w:r>
        <w:t xml:space="preserve">- the mutual insurance company MAAF Assurances*, the mutual MAAF Santé, and the union Force et Santé, which are part of the MAAF group1. The company MAAF Assurances directly or indirectly controls, through subsidiaries, all other companies in the MAAF group;  </w:t>
        <w:br/>
        <w:t xml:space="preserve">- the companies MMA IARD* Assurances Mutuelles, MMA Vie Assurances Mutuelles, DAS Assurances Mutuelles, and Le Finistère, which directly or indirectly control all other companies in the MMA group2;  </w:t>
        <w:br/>
        <w:t xml:space="preserve">- the companies Assurances Mutuelles de France (hereinafter, "AM") and the Garantie Mutuelle des Fonctionnaires et employés de l’Etat et des services publics et assimilés (hereinafter, "GMF"), which are part of the AM-GMF group. AM and GMF jointly control, directly or indirectly, all other companies in the AM-GMF group3.  </w:t>
        <w:br/>
        <w:t xml:space="preserve">3. The Covéa group is active in the sectors of insurance, provident services, life insurance, asset management, in the banking insurance brokerage sector, and in the internet portals sector concerning health.  </w:t>
        <w:br/>
        <w:t>4. Apgis is an approved provident institution, governed by the provisions of the Social Security Code, which is active in the insurance, provident services, and life insurance sectors.</w:t>
      </w:r>
    </w:p>
    <w:p>
      <w:r>
        <w:t xml:space="preserve">B. THE OPERATION  </w:t>
        <w:br/>
        <w:t xml:space="preserve">5. The affiliation agreement to be concluded between Covéa and Apgis, which has been approved by their respective boards of directors, provides for (i) the establishment of significant and lasting financial solidarity links between Covéa and Apgis, as well as the modalities for implementing this financial solidarity; (ii) the modalities for coordination and organization of the mutual insurance group and the provisions relating to the combination of its accounts; (iii) a delegation of representation given by Apgis* to the mutual insurance group; and (iv) the principles of operation and cost-sharing within the mutual insurance group.  </w:t>
        <w:br/>
        <w:t xml:space="preserve">6. In light of these elements and in accordance with decision-making practice4, the affiliation of the company Apgis to the SGAM Covéa constitutes a de facto merger, insofar as this operation brings together the activities of the company Apgis with the activities of the other companies affiliated to the SGAM Covéa within a single economic entity.  </w:t>
        <w:br/>
        <w:t xml:space="preserve">7. Consequently, the present operation constitutes a concentration within the meaning of Article L. 430-1 of the Commercial Code.  </w:t>
        <w:br/>
        <w:t>8. The concerned companies together achieve a total worldwide turnover of more than 150 million euros (Covéa group: 12.988 billion euros for the fiscal year ending December 31, 2009; Apgis company: 343.7 million euros for the same fiscal year). The Covéa group and the Apgis company each achieve, in France, a turnover exceeding 50 million euros (Covéa group: 12.558 billion euros for the fiscal year ending December 31, 2009; Apgis company: 343.7 million euros for the same fiscal year). Given these turnovers, the operation does not have a Community dimension.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9. The parties to the operation are simultaneously active in the provident and insurance sector, particularly health insurance and life insurance. The Covéa group is also present in the asset management sector and, incidentally, in the online banking insurance brokerage sector, in the banking sector, and in the health internet portals sector.</w:t>
      </w:r>
    </w:p>
    <w:p>
      <w:r>
        <w:t xml:space="preserve">A. PRODUCT OR SERVICE MARKETS  </w:t>
        <w:br/>
        <w:t xml:space="preserve">10. Within the insurance sector, decision-making practice consistently distinguishes between personal insurance and property insurance (goods and liabilities), each of which can in turn be segmented into as many markets as there are insurances covering different types of risks or types of contracts, insofar as, from the demand perspective, insurances or contracts differ and are not substitutable5. Regarding the personal insurance market, a further segmentation can be made between collective insurance contracts, concluded between an insurer and a subscriber distinct from the beneficiary, and individual insurance contracts for which the subscriber is also the beneficiary6. Similarly, regarding the property insurance market, a further segmentation can be made between insurances aimed at individuals and insurances aimed at professionals7.  </w:t>
        <w:br/>
        <w:t xml:space="preserve">11. In this case, the parties to the operation are simultaneously active in personal insurance. The parties have identified the following segments where their activities overlap:  </w:t>
        <w:br/>
        <w:t>- the market for supplementary health insurance, which encompasses insurance products guaranteeing beneficiaries in the event of illness, accident, or maternity and aiming to</w:t>
      </w:r>
    </w:p>
    <w:p>
      <w:r>
        <w:rPr>
          <w:b/>
        </w:rPr>
        <w:t>[Pages 4–6]</w:t>
      </w:r>
    </w:p>
    <w:p>
      <w:r>
        <w:t>provide insured individuals with supplementary health expense coverage. The parties have distinguished between individual supplementary health insurance and collective supplementary health insurance.</w:t>
      </w:r>
    </w:p>
    <w:p>
      <w:r>
        <w:t>- the savings and life insurance market, which, in accordance with decision-making practice, encompasses all financial products offered within the framework of optional capital or annuity insurance, and life insurance products. The parties have distinguished between individual savings and life insurance, on the one hand, and collective, on the other hand. In this case, the parties' activities only overlap in the collective savings and life insurance market. Decision-making practice has also considered a distinction within collective savings and life insurance, between the segment of collective employee savings contracts and that of collective retirement savings contracts;</w:t>
      </w:r>
    </w:p>
    <w:p>
      <w:r>
        <w:t>- the collective insurance market, which encompasses insurance products subject to a contract concluded between an insurer and a subscriber distinct from the beneficiary, intended to cover beneficiaries against an unpredictable loss of income (in the event of an accident, death, long illness, job loss, disability, or incapacity) through the payment of compensation in the form of a capital sum or annuity. For reasons of profitability of the overall offer, the same insurance contract generally covers multiple risks.</w:t>
      </w:r>
    </w:p>
    <w:p>
      <w:r>
        <w:t>12. In this case, the effects of the operation will therefore be analyzed on the markets of supplementary health insurance, both individual and collective, on the collective insurance market, and on the life insurance and savings market.</w:t>
      </w:r>
    </w:p>
    <w:p>
      <w:r>
        <w:t>B. GEOGRAPHICAL DELIMITATION OF MARKETS</w:t>
      </w:r>
    </w:p>
    <w:p>
      <w:r>
        <w:t>13. Except for certain insurances covering large-scale risks, decision-making practice considers that insurance markets are of national dimension given consumer preferences, the existence of national legislation and tax constraints, the current structure of these markets, or the regulatory systems concerning this sector of activities.</w:t>
      </w:r>
    </w:p>
    <w:p>
      <w:r>
        <w:t>8 Id.</w:t>
      </w:r>
    </w:p>
    <w:p>
      <w:r>
        <w:t>9 See in particular the decision of the Competition Authority 10-DCC-147 of November 9, 2010, concerning the creation of a joint venture by the companies CNP and Malakoff Médéric.</w:t>
      </w:r>
    </w:p>
    <w:p>
      <w:r>
        <w:t>10 See the letter from the Minister of Economy, Finance and Industry dated April 7, 2003, to the Chief Executive Officer of the insurance company La Mondiale and to the General Delegate of the AG2R Prévoyance provident institution.</w:t>
      </w:r>
    </w:p>
    <w:p>
      <w:r>
        <w:t>11 See in particular the letter from the Minister of Economy, Finance and Industry dated April 7, 2003, to the Chief Executive Officer of the insurance company La Mondiale and to the General Delegate of the AG2R Prévoyance provident institution; letter from the Minister of Economy, Finance and Employment C2007-49 of August 21, 2007, to the boards of the AG2R Prévoyance provident institution and to the company La Mondiale concerning a concentration in the health and retirement provident insurance sector.</w:t>
      </w:r>
    </w:p>
    <w:p>
      <w:r>
        <w:t>12 Decision No. 10-DCC-52, cited above.</w:t>
      </w:r>
    </w:p>
    <w:p>
      <w:r>
        <w:t>III. Competitive Analysis</w:t>
      </w:r>
    </w:p>
    <w:p>
      <w:r>
        <w:t>14. The Covéa group and Apgis are simultaneously present in the personal insurance markets. In total, the Covéa group represents [0-5]% of the entirety of these markets and Apgis, [0-5]%.</w:t>
      </w:r>
    </w:p>
    <w:p>
      <w:r>
        <w:t>A. SUPPLEMENTARY HEALTH INSURANCE</w:t>
      </w:r>
    </w:p>
    <w:p>
      <w:r>
        <w:t>15. In the individual supplementary health insurance market, Covéa holds a market share of [0-5]% and Apgis a market share of [0-5]%, totaling [0-5]%. In the collective supplementary health insurance market, Covéa's market share is [0-5]% and Apgis's market share is [0-5]%, resulting in a cumulative market share limited to [0-5]% for the whole.</w:t>
      </w:r>
    </w:p>
    <w:p>
      <w:r>
        <w:t>16. In these markets, the new entity will face competition from many significant competitors such as MGEN, Groupama, and Harmonie mutuelle, which hold a market share between [5-10]% in the individual supplementary health insurance market, and such as Malakoff-Médéric, AXA, AG2R-La Mondiale, and Harmonie Mutuelle, which hold a market share between [5-10]% in the collective supplementary health insurance market.</w:t>
      </w:r>
    </w:p>
    <w:p>
      <w:r>
        <w:t>17. Therefore, in light of the aforementioned elements and regardless of the segmentation retained, the operation is not likely to harm competition in the supplementary health insurance markets.</w:t>
      </w:r>
    </w:p>
    <w:p>
      <w:r>
        <w:t>B. SAVINGS AND LIFE INSURANCE</w:t>
      </w:r>
    </w:p>
    <w:p>
      <w:r>
        <w:t>18. In the case of a broad segmentation encompassing the segments of savings and life insurance, the Covéa group holds a market share of [0-5]% and Apgis a market share of [0-5]%, resulting in [0-5]% for the SGAM following the new affiliation.</w:t>
      </w:r>
    </w:p>
    <w:p>
      <w:r>
        <w:t>19. In the case of a narrower segmentation, encompassing collective savings and life insurance, the only segment where the parties' activities overlap, the market share of the Covéa group is limited to [0-5]% and that of Apgis to [0-5]%.</w:t>
      </w:r>
    </w:p>
    <w:p>
      <w:r>
        <w:t>20. Finally, in the two sub-segments of collective retirement savings, on the one hand, and collective employee savings contracts, on the other hand, the new entity will hold a market share of less than [0-5]%.</w:t>
      </w:r>
    </w:p>
    <w:p>
      <w:r>
        <w:t>21. Therefore, in light of the low market shares held by the new entity, the operation is not likely to harm competition in the life insurance and savings markets, regardless of the segmentation retained.</w:t>
      </w:r>
    </w:p>
    <w:p>
      <w:r>
        <w:t>C. INSURANCE</w:t>
      </w:r>
    </w:p>
    <w:p>
      <w:r>
        <w:t>22. In the insurance market, the SGAM will hold a market share of [0-5]% following the new affiliation (i.e., [0-5]% for the Covéa group and [0-5]% for Apgis). In the only segment of collective insurance, the market share of the SGAM will not exceed [0-5]%.</w:t>
      </w:r>
    </w:p>
    <w:p>
      <w:r>
        <w:t>23. Therefore, in light of the aforementioned elements and regardless of the market segmentation retained, the operation is not likely to affect competition in the insurance markets.</w:t>
      </w:r>
    </w:p>
    <w:p>
      <w:r>
        <w:t>DECIDES</w:t>
      </w:r>
    </w:p>
    <w:p>
      <w:r>
        <w:t>Single Article: The operation notified under number 11-0051 is authorized.</w:t>
      </w:r>
    </w:p>
    <w:p>
      <w:r>
        <w:t>The President,</w:t>
      </w:r>
    </w:p>
    <w:p>
      <w:r>
        <w:t>Bruno Lasserre</w:t>
      </w:r>
    </w:p>
    <w:p>
      <w: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