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https://www.autoritedelaconcurrence.fr/fr/decision-de-controle-des-concentrations/relative-laquisition-de-la-societe-boostec-pa-la-societe-le</w:t>
      </w:r>
    </w:p>
    <w:p>
      <w:r>
        <w:t>Pages translated : 2</w:t>
      </w:r>
    </w:p>
    <w:p/>
    <w:p>
      <w:r>
        <w:rPr>
          <w:b/>
        </w:rPr>
        <w:t>[Pages 1–2]</w:t>
      </w:r>
    </w:p>
    <w:p>
      <w:r>
        <w:t xml:space="preserve">FRENCH REPUBLIC  </w:t>
        <w:br/>
        <w:t xml:space="preserve">Letter No. 10-DCC-69 of July 1, 2010, to the counsel of the company  </w:t>
        <w:br/>
        <w:t xml:space="preserve">Le Carbone Lorraine regarding an increase in the capital of the  </w:t>
        <w:br/>
        <w:t>company Boostec</w:t>
      </w:r>
    </w:p>
    <w:p>
      <w:r>
        <w:t>Counsel,</w:t>
      </w:r>
    </w:p>
    <w:p>
      <w:r>
        <w:t xml:space="preserve">You submitted a notification file to the mergers department on May 10, 2010,  </w:t>
        <w:br/>
        <w:t>declared complete on May 28, 2010, concerning the acquisition of [&gt;50%] of the capital and voting rights of the company Boostec by the company Le Carbone Lorraine, with the remaining capital held by the company Astrium. This transaction was formalized by a share transfer agreement, a memorandum of understanding concluded between Boostec and Astrium in the presence of Le Carbone Lorraine, and a shareholder agreement, dated April 2, 2010.</w:t>
      </w:r>
    </w:p>
    <w:p>
      <w:r>
        <w:t>Astrium is a company under French law, directly and indirectly 100% owned by EADS N.V. Astrium is active in the space industry sector: design, manufacture, and supply of satellites, satellite subsystems and equipment, launch vehicles, spacecraft, components for orbital infrastructures, and space instruments. It is present in Germany, France, Spain, the Netherlands, and the United Kingdom. EADS achieved a total revenue excluding taxes of 42.8 billion euros in 2009, of which [&gt;150 million] euros in France.</w:t>
      </w:r>
    </w:p>
    <w:p>
      <w:r>
        <w:t>Le Carbone Lorraine is a public limited company that develops high-tech industrial applications using carbon and graphite. Le Carbone Lorraine is listed on the Euronext Paris stock exchange and its shareholding is dispersed, with its main shareholders being French institutional investors (38.5%), individual shareholders (21.1%), employees (1.4%), and foreign institutional investors (38.8%). Le Carbone Lorraine achieved a total revenue excluding taxes of 587.3 million euros, of which [&gt;50] million euros in France.</w:t>
      </w:r>
    </w:p>
    <w:p>
      <w:r>
        <w:t>Boostec is a simplified joint-stock company specialized in the manufacture of high-performance silicon carbide systems and components, primarily used in the instrumentation sector for space optics (cameras and telescopes mounted on satellites, spacecraft, and/or aircraft as well as ground optical instrumentation). Prior to the transaction, its capital is held [&lt;50%] by Astrium, [&lt;50%] by the Regional Institute for Industrial Development of Midi-Pyrénées (hereinafter "IRDI"), and [&gt;50%] by the public limited company FIBA SA (mainly held by two individuals). Boostec achieved a total revenue excluding taxes of [&lt;50] million euros in 2009, of which [&lt;50] million euros in France.</w:t>
      </w:r>
    </w:p>
    <w:p>
      <w:r>
        <w:t>The transaction consists of the acquisition by Le Carbone Lorraine of [&gt;50%] of the capital and voting rights of Boostec from FIBA and IRDI. Astrium will continue to hold [&lt;50%] of the capital and voting rights.</w:t>
      </w:r>
    </w:p>
    <w:p>
      <w:r>
        <w:t>The notified transaction raises several questions. Thus, the question arises regarding the nature of the control exercised over Boostec: either Astrium's minority stake in Boostec's capital, under the terms of the various agreements and protocols concluded between them, does not give it a determining influence over this company, which is then exclusively controlled by Le Carbone Lorraine; or Astrium has a determining influence over Boostec, which is then jointly controlled by Astrium and Le Carbone Lorraine.</w:t>
      </w:r>
    </w:p>
    <w:p>
      <w:r>
        <w:t>In the first case, the transaction cannot be subject to the control provided for in Articles L. 430-3 of the Commercial Code and following, insofar as the revenues to be considered are those of Le Carbone Lorraine and Boostec and do not exceed the revenue thresholds set out in Article L. 430-2.</w:t>
      </w:r>
    </w:p>
    <w:p>
      <w:r>
        <w:t>In the second case, the transaction is also not controllable. Indeed, paragraph II of Article L. 430-1 of the Commercial Code states that "the creation of a joint venture performing all the functions of an autonomous economic entity on a lasting basis constitutes a concentration within the meaning of this article." The autonomy of the joint venture in relation to its parent companies is primarily assessed by verifying that it has "sufficient resources to operate independently in a market and in particular all the structural elements necessary for the functioning of autonomous companies (human resources, budget, commercial responsibility)." Furthermore, the structure must be "a company performing all the functions of an autonomous economic entity [...] which means that it operates in a market, performing the functions that are normally carried out by other companies present in that market."</w:t>
      </w:r>
    </w:p>
    <w:p>
      <w:r>
        <w:t>In this case, Boostec's current revenue consists [trade secret] of its sales to Astrium in the field of space optical instrumentation. Moreover, a [trade secret] part of its current activity is directly dependent [trade secret]. It is indeed planned that in the long term, Boostec will develop products in areas other than space instrumentation on behalf of Le Carbone Lorraine, but these new activities are hypothetical and are not expected to generate significant revenue in the short term. Furthermore, the notified project provides that these new products will complement the range offered by Le Carbone Lorraine, which will market the vast majority of them.</w:t>
      </w:r>
    </w:p>
    <w:p>
      <w:r>
        <w:t>From all these elements, it appears that the company will remain too dependent on its parent companies in its operations to be considered a fully functioning enterprise.</w:t>
      </w:r>
    </w:p>
    <w:p>
      <w:r>
        <w:t>Thus, without needing to rule on whether Astrium exerts a determining influence over Boostec, it must be noted that this transaction does not constitute a concentration within the meaning of Article L. 430-1.</w:t>
      </w:r>
    </w:p>
    <w:p>
      <w:r>
        <w:t>Consequently, I inform you that the notified transaction is not subject to the concentration control provided for in Articles L. 430-3 and following of the Commercial Code.</w:t>
      </w:r>
    </w:p>
    <w:p>
      <w:r>
        <w:t xml:space="preserve">The President,  </w:t>
        <w:br/>
        <w:t xml:space="preserve">Bruno Lasserre  </w:t>
        <w:br/>
        <w:t xml:space="preserve">© Competition Authority  </w:t>
        <w:br/>
        <w:t xml:space="preserve">1 Guidelines of the Competition Authority regarding concentration control, § 54.  </w:t>
        <w:br/>
        <w:t>2 Guidelines of the Competition Authority regarding concentration control, § 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