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https://www.autoritedelaconcurrence.fr/fr/decision/relative-lexecution-de-la-decision-ndeg-02-d-36-du-14-juin-2002-concernant-le-secteur-de</w:t>
      </w:r>
    </w:p>
    <w:p>
      <w:r>
        <w:t>Pages translated : 8</w:t>
      </w:r>
    </w:p>
    <w:p/>
    <w:p>
      <w:r>
        <w:rPr>
          <w:b/>
        </w:rPr>
        <w:t>[Pages 1–3]</w:t>
      </w:r>
    </w:p>
    <w:p>
      <w:r>
        <w:t xml:space="preserve">FRENCH REPUBLIC  </w:t>
        <w:br/>
        <w:t xml:space="preserve">Decision No. 05-D-08 of March 9, 2005  </w:t>
        <w:br/>
        <w:t xml:space="preserve">concerning the execution of Decision No. 02-D-36  </w:t>
        <w:br/>
        <w:t>of June 14, 2002 regarding the eyewear sector</w:t>
      </w:r>
    </w:p>
    <w:p>
      <w:r>
        <w:t xml:space="preserve">The Competition Council (permanent commission),  </w:t>
        <w:br/>
        <w:t xml:space="preserve">Having regard to the letter registered on June 22, 2004, under number 04/0040 R, by which the Minister of Economy, Finance and Industry referred to the Competition Council the non-compliance with the injunction issued by the Council in its Decision No. 02-D-36 of June 14, 2002 regarding the optical eyewear distribution sector in the Lyon metropolitan area;  </w:t>
        <w:br/>
        <w:t xml:space="preserve">Having regard to Book IV of the Commercial Code relating to price freedom and competition and Decree 2002-689 of April 30, 2002 setting the conditions for its application;  </w:t>
        <w:br/>
        <w:t xml:space="preserve">Having regard to the judgment of the Paris Court of Appeal dated March 18, 2003;  </w:t>
        <w:br/>
        <w:t xml:space="preserve">Having regard to the observations presented by the companies SA Nagabbo, SA Europtic, Sarl "Optique lunetterie Bourdeau", Sarl "Optique Guigues" and by the Government Commissioner;  </w:t>
        <w:br/>
        <w:t xml:space="preserve">Having regard to the other documents in the file;  </w:t>
        <w:br/>
        <w:t xml:space="preserve">The rapporteur, the general rapporteur, the Government Commissioner, and the companies SA Nagabbo, SA Europtic, Sarl Optique lunetterie Bourdeau, Sarl Optique Guigues, heard during the session of February 15, 2005;  </w:t>
        <w:br/>
        <w:t>Adopts the following decision:</w:t>
      </w:r>
    </w:p>
    <w:p>
      <w:r>
        <w:t xml:space="preserve">I. Findings  </w:t>
        <w:br/>
        <w:t xml:space="preserve">A. THE REFERRAL  </w:t>
        <w:br/>
        <w:t>1. By decision dated June 14, 2002, the Competition Council imposed financial penalties on the companies SA Nagabbo, SA Europtic, Sarl "Optique lunetterie Bourdeau", Sarl "Optique Guigues". This decision was notified on June 18, 2002, to the companies, all of which acknowledged receipt on June 19, 2002.</w:t>
      </w:r>
    </w:p>
    <w:p>
      <w:r>
        <w:t>2. This decision was accompanied by an injunction whereby the Competition Council ordered these same companies to publish, in legible characters for an ordinary reader, within two months from the notification, the second part of the decision, in the daily newspaper "Le Progrès" Rhône edition and in the magazine "Inform’optique", at joint expense and in proportion to the financial penalties imposed on them.</w:t>
      </w:r>
    </w:p>
    <w:p>
      <w:r>
        <w:t>3. The Paris Court of Appeal, in a judgment dated March 18, 2003, upheld the principle of the conviction while amending the amount of the penalties decided by the Competition Council. It also maintained the publication injunction under the same conditions, adding that the publication "must mention the present judgment and substitute the amount of the financial penalties imposed by the Court for those retained by the Competition Council." The Court of Appeal ruled again in a decision dated September 16, 2003, due to an omission to rule concerning a company not involved in the present case.</w:t>
      </w:r>
    </w:p>
    <w:p>
      <w:r>
        <w:t>4. On June 22, 2004, pursuant to the provisions of Articles L. 462-5 and L. 464-8 of the Commercial Code, the Minister of Economy, Finance and Industry referred to the Competition Council for non-compliance with the publication injunction.</w:t>
      </w:r>
    </w:p>
    <w:p>
      <w:r>
        <w:t xml:space="preserve">B. THE BEHAVIORS OF THE COMPANIES  </w:t>
        <w:br/>
        <w:t>5. The deadline set by the Competition Council for the implementation of the injunction was August 19, 2002.</w:t>
      </w:r>
    </w:p>
    <w:p>
      <w:r>
        <w:t>6. On October 23, 2002, the services of the General Directorate for Competition, Consumer Affairs and Fraud Control of the Ministry of Economy (hereinafter DGCCRF) contacted the four aforementioned companies to ascertain the status of execution of the injunction issued on June 14, 2002. The said companies did not respond to these requests.</w:t>
      </w:r>
    </w:p>
    <w:p>
      <w:r>
        <w:t>7. In November 2003, the DGCCRF services conducted an investigation with the four companies to determine whether the injunction had been executed. The lawyer for the four companies, heard on this occasion, by letter dated November 26, 2003, questioned the DGCCRF services about how to execute the Council's decision after the amendment by the Paris Court of Appeal of the amount of the financial penalties, arguing difficulties in ensuring its implementation. There was no response from the administration to the question posed by the lawyer for the four companies.</w:t>
      </w:r>
    </w:p>
    <w:p>
      <w:r>
        <w:t>8. On September 10, 2004, the rapporteur designated by the general rapporteur after the referral on June 22, 2004, by the Minister of Economy, sent the four companies requests for information on the steps they had taken to ensure the execution of the injunction. These letters went unanswered.</w:t>
      </w:r>
    </w:p>
    <w:p>
      <w:r>
        <w:t>9. Following the communication on October 13, 2004, of the report noting the lack of execution, the companies informed the rapporteur that they believed the injunction had been executed, particularly considering the previous contacts between their lawyer and the DGCCRF services. They then indicated to the rapporteur that they would do everything possible to execute the injunction.</w:t>
      </w:r>
    </w:p>
    <w:p>
      <w:r>
        <w:t>10. Ms. X..., president of the company Europtic, contacted the magazine "Inform’optique." By letter dated October 19, 2004, the advertising director of the magazine informed her that due to its length, it was impossible to proceed with the requested publication given the magazine's editorial line.</w:t>
      </w:r>
    </w:p>
    <w:p>
      <w:r>
        <w:t>11. Regarding the publication in "Le Progrès" Rhône edition, a layout was prepared by the newspaper's services in November 2004. The publication was made in the December 29, 2004 edition of the daily newspaper "Le Progrès."</w:t>
      </w:r>
    </w:p>
    <w:p>
      <w:r>
        <w:t xml:space="preserve">II. Discussion  </w:t>
        <w:br/>
        <w:t xml:space="preserve">A. ON THE PRINCIPLE OF SANCTION FOR NON-COMPLIANCE WITH THE PUBLICATION INJUNCTION  </w:t>
        <w:br/>
        <w:t>12. Pursuant to Article L. 464-2 of the Commercial Code: "The Competition Council may order the interested parties to cease anti-competitive practices within a specified period or impose specific conditions (...) The Competition Council may order the publication, dissemination, or posting of its decision or an excerpt thereof according to the modalities it specifies. The costs are borne by the interested party. (...) " and pursuant to Article L. 464-3 of said code: "If the measures and injunctions provided for in Articles L. 464-1 and L. 464-2 are not respected, the Council may impose a financial penalty within the limits set in Article L. 464-2." Finally, according to the terms of Article L. 464-7 paragraph 2: "The appeal is not suspensive. However, the first president of the Paris Court of Appeal may order that the execution of the decision be suspended if it is likely to lead to manifestly excessive consequences or if, after its notification, facts of exceptional gravity have occurred."</w:t>
      </w:r>
    </w:p>
    <w:p>
      <w:r>
        <w:t>13. To justify the late execution of the injunction, the four companies argue, on the one hand, that the effective execution of a publicity measure, prior to the intervention of the Court of Appeal's judgment, prevents the effective execution of it, particularly in the event that a modification of the terms of the decision to be published is ordered.</w:t>
      </w:r>
    </w:p>
    <w:p>
      <w:r>
        <w:t>14. On the other hand, the four companies explain that the delay in executing the injunction is related to the material difficulties they encountered and of which they had informed the DGCCRF in order to obtain indications allowing the effective implementation of the injunction.</w:t>
      </w:r>
    </w:p>
    <w:p>
      <w:r>
        <w:t>15. They add that publication in one of the two magazines is impossible and that, in any case, the media coverage that the decision of June 14, 2002 received at the time of its pronouncement has compensated, by its effects, for the absence of publication within the allotted time.</w:t>
      </w:r>
    </w:p>
    <w:p>
      <w:r>
        <w:rPr>
          <w:b/>
        </w:rPr>
        <w:t>[Pages 4–6]</w:t>
      </w:r>
    </w:p>
    <w:p>
      <w:r>
        <w:t>B. ON THE FAILURE TO EXECUTE WITHIN THE ALLOTTED TIME</w:t>
      </w:r>
    </w:p>
    <w:p>
      <w:r>
        <w:t>16. Firstly, it follows from the aforementioned provisions of the Commercial Code that the Competition Council can sanction companies that have not complied with an injunction issued pursuant to Article L. 464-2 of said code. Specifically, the injunction to publish the decision at the company's expense is among the injunctions provided for by the aforementioned article. An injunction consists of different elements that must all be respected. However, the execution modalities set out in a decision of the Council are an integral part of the injunction, including its execution deadline.</w:t>
      </w:r>
    </w:p>
    <w:p>
      <w:r>
        <w:t>17. Contrary to what the parties argue and as was recalled in decision no. 04-D-47 of October 12, 2004, concerning the sector of prefabricated concrete stairs, the decisions of the Council have executive force as soon as they are notified to the parties, notwithstanding the existence of an appeal procedure. Only the stay ordered by the first president of the Paris Court of Appeal can suspend the enforceable nature of the decision. In the absence of requesting this stay or obtaining it, it is not for the parties to decide when they will proceed to execute an injunction to which they have been condemned with a deadline to be respected. In any case, they always have the option, if they deem it appropriate, to accompany the publication of a decision of the Competition Council with an indication of the existence of an appeal pending before the Paris Court of Appeal. Furthermore, in the event of a reform of the Council's decision, the Court of Appeal's judgment could also be subject to a publicity measure.</w:t>
      </w:r>
    </w:p>
    <w:p>
      <w:r>
        <w:t>18. Thus, the argument that the publication of the Competition Council's decision before the judgment of the Paris Court of Appeal on the annulment appeal filed against this decision would deprive said judgment of effectiveness, particularly in the event of a reform of the contested decision, is unfounded.</w:t>
      </w:r>
    </w:p>
    <w:p>
      <w:r>
        <w:t>19. Secondly, it does not appear from the investigation that the parties undertook any steps to proceed with the publication within the allotted time. The decision of the Competition Council was notified on June 19, 2002. The deadline given to them to execute the injunction was two months. On October 23, 2002, the DGCCRF services wished to know the status of the execution of the injunction, the execution deadline of which had expired on that date. It appears from the investigation that in October 2002, the publication had not been carried out and that, during this period, the four companies do not justify any particular external circumstances that would explain the failure to execute the injunction.</w:t>
      </w:r>
    </w:p>
    <w:p>
      <w:r>
        <w:t>20. Thus, it follows from the elements of the investigation recalled above that the injunction to publish within the allotted time was, in any case, not respected by the four companies.</w:t>
      </w:r>
    </w:p>
    <w:p>
      <w:r>
        <w:t>C. ON THE LATE EXECUTION OF THE INJUNCTION</w:t>
      </w:r>
    </w:p>
    <w:p>
      <w:r>
        <w:t>21. Firstly, it appears that a period of twenty-six months elapsed between the date of notification of the decision and the date of the actions justifying an approach to the publishing bodies to ensure effective execution of the injunction. Firstly, it was only after receiving the report and the requests for turnover that were sent to them on October 12 and 13, 2004, after notification, and on September 14 and 15, 2004, of a first request for information that went unanswered, that the four companies contacted the rapporteur.</w:t>
      </w:r>
    </w:p>
    <w:p>
      <w:r>
        <w:t>22. Subsequently, after October 15, 2004, the company Europtic undertook the first steps towards the magazines to organize the publication.</w:t>
      </w:r>
    </w:p>
    <w:p>
      <w:r>
        <w:t>23. It appears from the elements of the file, notably from the investigation carried out in November 2003 by the DGCCRF, that the companies involved considered that the publication was an initiative of the administration. However, the provision of Article L. 464-2 of the Commercial Code and the terms of the Council's decision leave no doubt about the obligation imposed on the sanctioned companies to execute the injunction to publish on their initiative.</w:t>
      </w:r>
    </w:p>
    <w:p>
      <w:r>
        <w:t>24. The companies in question also argue that their lawyer, after being heard in November 2003 by the DGCCRF, indicated by letter to the latter that the publication posed difficulties and that he wished to know the administration's position on how to execute the injunction, particularly due to the new elements brought by the Court of Appeal's decision of March 18, 2003. It does not appear from the investigation that the services of the ministry responsible for monitoring the execution of the decisions of the Competition Council responded to the inquiries of the parties' lawyer before the Council was seized in a procedure for non-compliance with the injunction. However, while the administration was not obliged to respond to the lawyer's letter of November 26, 2003, it is not unreasonable to think that in the context of an action taken by the administration to ascertain the status of execution of an injunction, the silence maintained by its services on questions raised by the counsel of the parties regarding the execution of said injunction may have contributed to increasing the delay in its implementation, particularly in the contacts made with the publishers. Nevertheless, it should be noted the lack of curiosity and the little urgency shown by the companies and their counsel to follow up with the administration to obtain answers to the questions posed.</w:t>
      </w:r>
    </w:p>
    <w:p>
      <w:r>
        <w:t>25. Finally, the companies invoke the media coverage that the Council's decision received when it was rendered. However, this information cannot legally substitute for the publication ordered by the Council nor exempt the companies concerned from their obligation to comply with the injunction.</w:t>
      </w:r>
    </w:p>
    <w:p>
      <w:r>
        <w:t>26. Furthermore, the injunction to publish pursues its own objective, that of contributing, through adequate information, to restoring competitive balance in the relevant markets, by warning consumers and operators about the existence of anti-competitive practices and the decisions taken by the Council to put an end to them, whereas press articles, when they present or comment spontaneously on a decision of the Competition Council, fall within an editorial policy specific to each newspaper and do not necessarily meet the objective sought by the Council.</w:t>
      </w:r>
    </w:p>
    <w:p>
      <w:r>
        <w:t>27. Secondly, regarding the effective execution of the injunction, which was supposed to take place in two magazines, the recently undertaken steps have indeed revealed a serious difficulty that is not attributable to the four companies.</w:t>
      </w:r>
    </w:p>
    <w:p>
      <w:r>
        <w:t>28. Firstly, the publication in the professional magazine "Inform’optique" proved impossible to carry out due to a mismatch between the profile and editorial line of the magazine and the modalities set out in the decision for publication, particularly the number of pages. It appears from the letter from the advertising director of said magazine dated October 19, 2004, that an obstacle independent of the will of the four companies makes a complete execution of the injunction impossible in any case. However, it is regrettable that the companies did not contact the magazine earlier to ascertain its position.</w:t>
      </w:r>
    </w:p>
    <w:p>
      <w:r>
        <w:t>29. Secondly, the publication of the decision in a rectified version based on the elements indicated by the Paris Court of Appeal, in the daily newspaper "Le Progrès" Rhône edition, proved possible.</w:t>
      </w:r>
    </w:p>
    <w:p>
      <w:r>
        <w:t>30. Thus, it follows from the above that the execution of the injunction pronounced on June 14, 2004, was carried out by the ordered publication in the daily newspaper "Le Progrès," Rhône edition, on December 29, 2004. However, it occurred with more than twenty-eight months of delay compared to the allotted time, whereas the deadline is one of the constitutive elements of the injunction to be respected. The analysis of the reasons for this delay revealed that, in any case and even if it is not entirely attributable to the four companies, they waited until November 2003, that is, seventeen months after the notification of the Council's decision and eight months after the Court of Appeal's judgment, to signal the existence of difficulties that could hinder publication.</w:t>
      </w:r>
    </w:p>
    <w:p>
      <w:r>
        <w:t>31. In these circumstances, it must be considered that by not taking into account the deadline imposed in the decision of June 14, 2002, and by executing the injunction with a delay that is largely attributable to them, the four companies did not comply with the injunction pronounced by the Competition Council.</w:t>
      </w:r>
    </w:p>
    <w:p>
      <w:r>
        <w:t>32. Consequently, it is therefore necessary to apply the provisions of Article L. 464-3 of the Commercial Code and to impose a sanction against the four companies involved due to the non-compliance with the allotted time for ensuring the publication of decision no. 02-D-36 of June 14, 2002.</w:t>
      </w:r>
    </w:p>
    <w:p>
      <w:r>
        <w:t>D. ON THE SANCTIONS</w:t>
      </w:r>
    </w:p>
    <w:p>
      <w:r>
        <w:t>33. Under Article L. 464-2 of the Commercial Code: “(...). The Competition Council may impose a financial penalty applicable either immediately or in the event of non-compliance with injunctions. Financial penalties are proportionate to the seriousness of the facts alleged, the extent of the damage caused to the economy, and the situation of the sanctioned organization or company (...). The maximum amount of the penalty is, for a company, 10% of the highest amount of worldwide turnover excluding taxes achieved during one of the financial years closed since the financial year preceding the one during which the practices were implemented (...).”</w:t>
      </w:r>
    </w:p>
    <w:p>
      <w:r>
        <w:rPr>
          <w:b/>
        </w:rPr>
        <w:t>[Pages 7–8]</w:t>
      </w:r>
    </w:p>
    <w:p>
      <w:r>
        <w:t>34. It follows from the previous developments that none of the companies that had the obligation to publish took any steps to ensure the publication of the decision before October 2004. It is thus established that the companies in question are responsible for the failure to comply with the publication injunction of the decision of June 14, 2002. This responsibility pertains both to the failure to meet the initial deadline and to the delay in executing the injunction. The behavior highlighted is serious because it is not for the companies to choose the moment when they will comply with an injunction issued against them, while a deadline has been set and the decision of the Competition Council is enforceable by law as soon as it is notified.</w:t>
      </w:r>
    </w:p>
    <w:p>
      <w:r>
        <w:t>35. However, in this case, it appears that the delay in implementing the steps to carry out the publications, while largely attributable to the behavior of the companies, also finds some explanation in the attitude of the administration in November 2003. Furthermore, when the companies became aware of the situation, they took steps to fulfill their obligation in order to remedy the shortcoming for which they were criticized.</w:t>
      </w:r>
    </w:p>
    <w:p>
      <w:r>
        <w:t>36. Moreover, the refusal of the magazine "Inform'optique" to proceed with the publication cannot be held against them.</w:t>
      </w:r>
    </w:p>
    <w:p>
      <w:r>
        <w:t>37. Regarding the damage to the economy, the actual existence of media coverage as analyzed previously, while not equivalent to a publication of the decision, may, in this case, have contributed to mitigating the damage caused by the failure to execute the injunction.</w:t>
      </w:r>
    </w:p>
    <w:p>
      <w:r>
        <w:t>38. In 2003, the turnover achieved in France by the company Optique Guigues is €347,606; that of the company Nagabbo is €1,209,638; that of the company Europtic is €613,041; that of the company Optique Lunetterie Bourdeau is €3,250,416.</w:t>
      </w:r>
    </w:p>
    <w:p>
      <w:r>
        <w:t>39. Based on the general and individual elements previously presented, it is appropriate to set the sanctions by determining their amounts, for the company Nagabbo at the sum of €1,500; for the company Optique Guigues at the sum of €600; for the company Europtic at the sum of €600; and for the company Optique Lunetterie Bourdeau at the sum of €2,000.</w:t>
      </w:r>
    </w:p>
    <w:p>
      <w:r>
        <w:t>DECISION</w:t>
      </w:r>
    </w:p>
    <w:p>
      <w:r>
        <w:t>Article 1: It is established that the companies Nagabbo, Optique Guigues, Europtic, and Optique Lunetterie Bourdeau have violated the provisions of Article L. 464-3 of the Commercial Code.</w:t>
      </w:r>
    </w:p>
    <w:p>
      <w:r>
        <w:t>Article 2: The following financial penalties are imposed:</w:t>
        <w:br/>
        <w:t>• to SA Nagabbo, a penalty of €1,500;</w:t>
        <w:br/>
        <w:t>• to Sarl Optique Guigues, a penalty of €600;</w:t>
        <w:br/>
        <w:t>• to SA Europtic, a penalty of €600;</w:t>
        <w:br/>
        <w:t>• to Sarl Optique Lunetterie Bourdeau, a penalty of €2,000.</w:t>
      </w:r>
    </w:p>
    <w:p>
      <w:r>
        <w:t>Deliberated, on the oral report of Ms. Ghaleh-Marzban, by Mr. Lasserre, president, Ms. Aubert and Mr. Perrot, Mr. Nasse, vice-presidents.</w:t>
      </w:r>
    </w:p>
    <w:p>
      <w:r>
        <w:t>The session secretary, The president,</w:t>
        <w:br/>
        <w:t>Marie-Pierre BINARD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