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https://www.autoritedelaconcurrence.fr/fr/decision/relative-lincidence-des-usages-du-courtage-sur-la-situation-de-la-concurrence-dans-le</w:t>
      </w:r>
    </w:p>
    <w:p>
      <w:r>
        <w:t>Pages translated : 5</w:t>
      </w:r>
    </w:p>
    <w:p/>
    <w:p>
      <w:r>
        <w:rPr>
          <w:b/>
        </w:rPr>
        <w:t>[Pages 1–3]</w:t>
      </w:r>
    </w:p>
    <w:p>
      <w:r>
        <w:t xml:space="preserve">CONSEIL DE LA CONCURRENCE  </w:t>
        <w:br/>
        <w:t xml:space="preserve">Decision No. 00-D-62 of December 13, 2000  </w:t>
        <w:br/>
        <w:t xml:space="preserve">Regarding the impact of brokerage practices on the competitive situation  </w:t>
        <w:br/>
        <w:t>in the life insurance and capitalization operations sector</w:t>
      </w:r>
    </w:p>
    <w:p>
      <w:r>
        <w:t xml:space="preserve">The Competition Council (permanent commission),  </w:t>
        <w:br/>
        <w:t xml:space="preserve">Having regard to the decision of October 10, 1995, registered under number F 805, by which the Competition Council took the initiative regarding the competitive situation in the life insurance and capitalization operations sector;  </w:t>
        <w:br/>
        <w:t xml:space="preserve">Having regard to Title IV of the Commercial Code and Decree No. 86-1309 of December 29, 1986, as amended, taken for the application of Ordinance No. 86-1243 of December 1, 1986;  </w:t>
        <w:br/>
        <w:t xml:space="preserve">Having regard to the observations presented by the Government Commissioner; having regard to the other documents in the file;  </w:t>
        <w:br/>
        <w:t xml:space="preserve">The rapporteur, the substitute rapporteur general, and the Government Commissioner heard during the session of October 18, 2000;  </w:t>
        <w:br/>
        <w:t>Adopts the decision based on the findings (I) and the reasons (II) set forth below:</w:t>
      </w:r>
    </w:p>
    <w:p>
      <w:r>
        <w:t>The Competition Council took the initiative regarding the competitive situation in the life insurance and capitalization operations sector by a decision of October 10, 1995. Following this decision, the President of the Competition Council sent a request for an investigation to the Director General of Competition, Consumer Affairs, and Fraud Prevention to define the conditions for the approval and remuneration of brokers as well as the impacts of the application of brokerage practices on the commercial freedom of these distributors. The Council rules following the investigation conducted based on the elements collected during this inquiry.</w:t>
      </w:r>
    </w:p>
    <w:p>
      <w:r>
        <w:t xml:space="preserve">I. - Findings  </w:t>
        <w:br/>
        <w:t xml:space="preserve">A. - THE SECTOR  </w:t>
        <w:br/>
        <w:t xml:space="preserve">Between 1987 and 1996, the turnover corresponding to life insurance and capitalization operations carried out in France increased fivefold, rising from 86 to 453 billion francs. According to figures provided by the Insurance Control Commission, 133 companies were listed as operating in the life insurance and mixed insurance sector. Regarding this latter designation, the commission specifies that a "new category of insurance companies appeared in 1995: mixed insurance companies that operate both life insurance and non-life insurance operations, namely personal insurance. They are included in the totals of life insurance companies."  </w:t>
        <w:br/>
        <w:t xml:space="preserve">The number of companies conducting capitalization operations and subject to the control of the Insurance Control Commission, as they engage in insurance activities (Art. L-310-1 of the Insurance Code), is 89. These companies are included in the total of 133 companies mentioned above. The turnover achieved in 1995 by insurers in capitalization operations was approximately 25 billion francs.  </w:t>
        <w:br/>
        <w:t xml:space="preserve">Foreign companies are present in the French market through subsidiaries and branches. French law subsidiaries are included in the list established by the Insurance Control Commission. According to the French Federation of Insurance Companies (FFSA), subsidiaries and branches of foreign companies accounted for 9.5% of the life insurance and capitalization turnover in 1996. Finally, under the community directive organizing the free provision of services in the insurance sector, 85 life insurance companies and 13 mixed life-damage companies were authorized to operate in France by the end of 1996.  </w:t>
        <w:br/>
        <w:t>According to information provided by the FFSA, the degree of market concentration in insurance within the European Union, established based on the market share of the ten largest companies in life, capitalization, and mixed insurance, was as follows in 1995:</w:t>
      </w:r>
    </w:p>
    <w:p>
      <w:r>
        <w:t xml:space="preserve">Germany 42.6%  </w:t>
        <w:br/>
        <w:t xml:space="preserve">Austria 69.7%  </w:t>
        <w:br/>
        <w:t xml:space="preserve">Belgium 80.9%  </w:t>
        <w:br/>
        <w:t xml:space="preserve">Denmark 85%  </w:t>
        <w:br/>
        <w:t xml:space="preserve">Spain 48.8%  </w:t>
        <w:br/>
        <w:t xml:space="preserve">France 67.7%  </w:t>
        <w:br/>
        <w:t xml:space="preserve">Italy 57.6%  </w:t>
        <w:br/>
        <w:t xml:space="preserve">Netherlands 86%  </w:t>
        <w:br/>
        <w:t xml:space="preserve">United Kingdom 44.6%  </w:t>
        <w:br/>
        <w:t>(Switzerland 84.3%)</w:t>
      </w:r>
    </w:p>
    <w:p>
      <w:r>
        <w:t>The distribution of life insurance and capitalization products in France underwent significant changes between 1990 and 1996, as shown in the following table:</w:t>
      </w:r>
    </w:p>
    <w:p>
      <w:r>
        <w:t xml:space="preserve">Distribution Methods (%) 1990 1995 1996  </w:t>
        <w:br/>
        <w:t xml:space="preserve">Counters 1) 39 56.1 58.8  </w:t>
        <w:br/>
        <w:t xml:space="preserve">General agents 18 11.9 11.2  </w:t>
        <w:br/>
        <w:t xml:space="preserve">Brokers 11 6.9 6.6  </w:t>
        <w:br/>
        <w:t xml:space="preserve">Employees 25 18.9 17.4  </w:t>
        <w:br/>
        <w:t xml:space="preserve">Direct sales and other methods 2) 7 6.2 6  </w:t>
        <w:br/>
        <w:t>Total 100 100 100</w:t>
      </w:r>
    </w:p>
    <w:p>
      <w:r>
        <w:t xml:space="preserve">1) counters of financial institutions, the Post Office, and the Treasury  </w:t>
        <w:br/>
        <w:t>2) by telephone, minitel, or mailing</w:t>
      </w:r>
    </w:p>
    <w:p>
      <w:r>
        <w:t xml:space="preserve">During this period, another event to note is the emergence of large-scale retail and mail-order sales in the insurance sector.  </w:t>
        <w:br/>
        <w:t xml:space="preserve">B. - Observed Practices  </w:t>
        <w:br/>
        <w:t xml:space="preserve">The conditions for the approval of brokers are defined by the Insurance Code, in Articles R. 511-2, R. 511-4, and R. 514-1. Based on these articles, brokers, who are merchants, must provide a number of justifications to obtain registration in the commercial register.  </w:t>
        <w:br/>
        <w:t xml:space="preserve">The conditions under which distributors of insurance contracts may be remunerated for their intermediation services are defined by Article R. 511.3 of the Insurance Code: "Commissions granted as remuneration for the introduction or management of an insurance or capitalization operation may only be retroceded in whole or in part to a natural or legal person if that person belongs to one of the categories authorized to make such a presentation in accordance with Articles R. 511.2 and R. 511.4. This provision does not prevent the remuneration of indicators whose role is limited to connecting the insured and the insurer or to notifying one to the other."  </w:t>
        <w:br/>
        <w:t xml:space="preserve">The contractual relationships between brokers and insurance companies are governed by brokerage practices. This contractual document, which does not have regulatory value, has been annexed to the Insurance Code under the title "Recognition of Land Insurance Brokerage Practices."  </w:t>
        <w:br/>
        <w:t xml:space="preserve">Brokerage practices do not affect the approval of brokers, the conditions for which are defined by the regulatory texts recalled above.  </w:t>
        <w:br/>
        <w:t xml:space="preserve">Practices No. 1 and 2 are intended to ensure equal treatment between brokers and also between brokers and insurance agents. Practice No. 3 determines the conditions under which the right to commission is transferred in the event of a change of broker: "The broker who introduced a policy is entitled to the commission, not only on the initial premium but also on all premiums that are the consequence of the clauses of this policy.  </w:t>
        <w:br/>
        <w:t xml:space="preserve">The right to commission lasts as long as the insurance itself, particularly when the policy continues by tacit or express renewal or when it is renewed or replaced directly by the insured with the company.  </w:t>
        <w:br/>
        <w:t xml:space="preserve">When the replacement is granted to a new broker appointed by the insured with an exclusive replacement order accompanied by a regular termination of the policy for its expiration date or for the deadline at which it can be terminated, the broker who created the policy is entitled to the commission on the premiums brought by him until the time for which the policy is duly terminated.  </w:t>
        <w:br/>
        <w:t xml:space="preserve">When the replacement is granted to a new broker holding a replacement order not accompanied by a regular termination of the policy to be replaced, the creating broker retains his right to commission on all premiums of the new contract up to the amount of those he brought.  </w:t>
        <w:br/>
        <w:t xml:space="preserve">These rules apply both in cases where the policy brought by the broker has been placed in the portfolio of the central administration of the company and in cases where it has been placed in the portfolio of one of its agencies."  </w:t>
        <w:br/>
        <w:t xml:space="preserve">This practice continues to give rise to interpretations due to the fact that the right to commission is inherent to the insurance policy and that its possible transfer, in the current state of case law, is conditioned by the conclusion of a new policy to which it would then be linked. However, while the termination of a short-term and fixed-term damage insurance policy poses few practical problems, this is not the case for life insurance policies of longer or indefinite duration, which are also accompanied by tax benefits that may be lost in the event of early termination.  </w:t>
        <w:br/>
        <w:t xml:space="preserve">The investigation was conducted with the following companies:  </w:t>
        <w:br/>
        <w:t xml:space="preserve">bank subsidiaries: SOGECAP (Société générale), NATIO VIE (BNP), AFV (Crédit lyonnais), PREDICA (Crédit agricole),  </w:t>
        <w:br/>
        <w:t xml:space="preserve">ECUREUIL VIE (savings banks and CNP);  </w:t>
        <w:br/>
        <w:t xml:space="preserve">National companies: GAN CAPI, GAN VIE, CNP Assurances;  </w:t>
        <w:br/>
        <w:t xml:space="preserve">private companies: ACF VIE, UAP, VIE, UAP Collectives, AXA Courtage Vie, AXIVA, ALPHA Assurances;  </w:t>
        <w:br/>
        <w:t xml:space="preserve">French subsidiaries of foreign companies: ALLIANZ VIE, CGP (Compagnie générale de prévoyance);  </w:t>
        <w:br/>
        <w:t xml:space="preserve">mutual insurance companies: MUTAVIE (MACIF);  </w:t>
        <w:br/>
        <w:t xml:space="preserve">financial subsidiaries of large retailers: Banque ACCORD, Société S2P (Carrefour).  </w:t>
        <w:br/>
        <w:t xml:space="preserve">The results of the investigations described in the administrative report show that, out of the entire sample, only two insurers maintained the rule defined by paragraph 4 of practice No. 3: AXIVA and Allianz Vie.  </w:t>
        <w:br/>
        <w:t>On the question of the transfer of the right to commission in the event of a change of broker, the representative of AXIVA stated: "The right to commission on premiums is linked to the payment of those premiums. As for the right to commission on outstanding amounts, it is generally vested in the original introducer as long as the contract lasts. If the insured wishes to change brokers or wealth advisors, in</w:t>
      </w:r>
    </w:p>
    <w:p>
      <w:r>
        <w:rPr>
          <w:b/>
        </w:rPr>
        <w:t>[Pages 4–5]</w:t>
      </w:r>
    </w:p>
    <w:p>
      <w:r>
        <w:t>the original introducer as long as the contract lasts. In practice, if there is an agreement between the new and the former introducer, the company complies with this agreement. So far, the company has not faced any litigation on this matter. AXIVA, in most cases, based on the agreements made between the introducers, pays the commission on outstanding amounts to the original introducer and the commission on premiums to the new introducer. AXIVA, for all its products, thus prevents the occurrence of any conflict on this point with its introducers. Of course, this practice is carried out in the interest of the insured, who will not have to terminate their contract (loss of tax benefits, in particular)."</w:t>
      </w:r>
    </w:p>
    <w:p>
      <w:r>
        <w:t>On this same issue, the representative of the company Allianz Vie stated: "When the insured wishes to change brokers and gives written mandate to a new broker to proceed with the transfer of the contract to the company's accounts, the latter accepts provided that the introducing broker agrees to it. If the introducing broker does not accept the transfer, the new broker will not be able to be compensated. The company complies with brokerage practices and tries, in the interest of the insured, to provide a legal solution to their transfer request. It has no ongoing litigation with its brokers regarding these transfer requests."</w:t>
      </w:r>
    </w:p>
    <w:p>
      <w:r>
        <w:t>In the other cases examined, either the question of the transfer of the right to commission does not arise, or the practice has been adapted to take into account the interests of the insured.</w:t>
      </w:r>
    </w:p>
    <w:p>
      <w:r>
        <w:t>Thus, in the system established by the banking subsidiaries, as well as by the subsidiaries of large retail, the question of the transfer of the right to commission in the event of a change of "broker" by the insured (when they want to change agencies for banks, or hypermarkets for products from large retail) does not arise since the commission is collected by the parent company and the distributed products are exclusive.</w:t>
      </w:r>
    </w:p>
    <w:p>
      <w:r>
        <w:t>The same applies to the products of the company Écureuil Vie which are distributed by the regional savings banks, public limited companies registered as insurance brokers with the commercial register. The transfer of a contract from one bank to another entails the transfer of the right to commission. It occurs following the change of address of the insured and at their request. This transfer is considered an internal administrative transfer within the company Écureuil Vie.</w:t>
      </w:r>
    </w:p>
    <w:p>
      <w:r>
        <w:t>CNP distributes its insurance products primarily through three non-exclusive networks: the Post Office, Public Accounting, and Savings Banks. The contracts of the insured are managed directly by the services of CNP and are distributed under a different name for each of the partner networks.</w:t>
      </w:r>
    </w:p>
    <w:p>
      <w:r>
        <w:t>Insurers, other than AXIVA and Allianz Vie, who distribute their products through independent brokers, have adapted the 4th paragraph of usage no. 3. At the written request of the insured, they execute the client's instruction and pay the commissions to the new broker, without terminating the policy so as not to deprive the insured of the benefits associated with the contract.</w:t>
      </w:r>
    </w:p>
    <w:p>
      <w:r>
        <w:t>II. Based on the preceding findings, the Council,</w:t>
      </w:r>
    </w:p>
    <w:p>
      <w:r>
        <w:t>- Considering that the brokerage practices, which govern the relationships between insurance companies and brokers, constitute as such agreements that may affect competition in the market for life insurance and capitalization operations;</w:t>
      </w:r>
    </w:p>
    <w:p>
      <w:r>
        <w:t>- Considering that the investigation has shown that most insurers distributing their products through independent brokers have adapted usage no. 3 which determines the conditions under which the right to commission is transferred in the event of a change of broker, avoiding terminating insurance contracts in order not to deprive the insured of the benefits associated with the initial contract; that in the few cases where usage no. 3 is still in effect, the investigation did not reveal that its application would have led to anti-competitive practices, particularly by discouraging brokers from soliciting insured parties who have taken out an insurance policy with another broker;</w:t>
      </w:r>
    </w:p>
    <w:p>
      <w:r>
        <w:t>- Considering that it is not established that the companies AXIVA and Allianz Vie, which have maintained the brokerage usage no. 3, have implemented anti-competitive practices; that it is therefore appropriate to apply Article L. 464-6 of the Commercial Code,</w:t>
      </w:r>
    </w:p>
    <w:p>
      <w:r>
        <w:t>DECIDES:</w:t>
      </w:r>
    </w:p>
    <w:p>
      <w:r>
        <w:t>Single Article. - There is no need to continue the procedure.</w:t>
      </w:r>
    </w:p>
    <w:p>
      <w:r>
        <w:t>Deliberated, on the report of Ms. Mathonnière, by Ms. Hagelsteen, president, Ms. Pasturel, vice-president, Mr. Robin, member, in replacement of Mr. Cortesse, vice-president, prevented.</w:t>
      </w:r>
    </w:p>
    <w:p>
      <w: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