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https://www.autoritedelaconcurrence.fr/fr/decision-de-controle-des-concentrations/relative-prise-de-controle-conjoint-par-la-societe-soditroy</w:t>
      </w:r>
    </w:p>
    <w:p>
      <w:r>
        <w:t>Pages translated : 4</w:t>
      </w:r>
    </w:p>
    <w:p/>
    <w:p>
      <w:r>
        <w:rPr>
          <w:b/>
        </w:rPr>
        <w:t>[Pages 1–3]</w:t>
      </w:r>
    </w:p>
    <w:p>
      <w:r>
        <w:t xml:space="preserve">FRENCH REPUBLIC  </w:t>
        <w:br/>
        <w:t xml:space="preserve">Decision No. 19-DEX-02 of October 24, 2019  </w:t>
        <w:br/>
        <w:t xml:space="preserve">regarding the joint control by the company Soditroy alongside  </w:t>
        <w:br/>
        <w:t xml:space="preserve">the Association of E. Leclerc Distribution Centers of a store  </w:t>
        <w:br/>
        <w:t>under the Géant Casino brand</w:t>
      </w:r>
    </w:p>
    <w:p>
      <w:r>
        <w:t xml:space="preserve">The Competition Authority,  </w:t>
        <w:br/>
        <w:t xml:space="preserve">Having regard to the notification file sent to the merger service on July 11, 2019, and declared complete on September 2, 2019, regarding the joint control by the company Soditroy alongside the Association of E. Leclerc Distribution Centers of a retail store predominantly selling food under the Géant Casino brand, located in the Troyes urban area (10), formalized by a purchase promise dated June 3, 2019, and a substitution deed dated June 6, 2019;  </w:t>
        <w:br/>
        <w:t xml:space="preserve">Having regard to Book IV of the Commercial Code relating to price freedom and competition, and in particular its Articles L. 430-1 to L. 430-7;  </w:t>
        <w:br/>
        <w:t xml:space="preserve">Having regard to the additional elements provided by the parties during the investigation;  </w:t>
        <w:br/>
        <w:t xml:space="preserve">Having regard to the other documents in the file;  </w:t>
        <w:br/>
        <w:t>Adopts the following decision:</w:t>
      </w:r>
    </w:p>
    <w:p>
      <w:r>
        <w:t xml:space="preserve">1. The company Soditroy is owned by Mr. Le Hen, who operates, through the company SIPAN, a store with an area of 10,883 m², under the E. Leclerc brand, located in Saint-Parres-aux-Tertres, in the Troyes urban area (10).  </w:t>
        <w:br/>
        <w:t xml:space="preserve">2. The Association of E. Leclerc Distribution Centers (hereinafter, "ACDLec") is the body that defines the strategy of the E. Leclerc movement, to which all individuals managing the operating companies of E. Leclerc stores are members. ACDLec notably determines the conditions for approval to the E. Leclerc movement and signs the brand contracts (or "signage contracts") that operators of E. Leclerc retail stores must hold.  </w:t>
        <w:br/>
        <w:t xml:space="preserve">3. The target business is a store under the Géant Casino brand, with a sales area of 8,210 m², located in Barberey-Saint-Sulpice, in the Troyes urban area (10).  </w:t>
        <w:br/>
        <w:t>4. The contemplated operation consists of the acquisition of the target business, the operating premises, as well as the operating premises of a service station by the company Soditroy.</w:t>
      </w:r>
    </w:p>
    <w:p>
      <w:r>
        <w:t xml:space="preserve">5. The Authority has furthermore consistently considered1 that the obligations imposed by ACDLec on the operating companies of E. Leclerc stores, such as Soditroy, allow it to exercise decisive influence over them. This analysis of the decisive influence exercised by ACDLec is applicable to the present transaction, in view of the contractual documents binding Soditroy to ACDLec2.  </w:t>
        <w:br/>
        <w:t xml:space="preserve">6. As it results in the joint control by Soditroy alongside ACDLec of the business assets of a predominantly food store, the notified transaction constitutes a concentration within the meaning of Article L. 430-1 of the Commercial Code.  </w:t>
        <w:br/>
        <w:t xml:space="preserve">7. The companies concerned together achieve a total worldwide turnover excluding taxes of more than 75 million euros (Mr. Le Hen: [≥ 75 million] euros for the last financial year ended December 31, 2018; ACDLec: [≥ 75 million] euros for the same financial year; target business: [≤ 75 million] for the same financial year). Each of these companies has achieved, in France, a turnover exceeding 15 million euros (Mr. Le Hen: [≥ 15 million] for the last financial year ended December 31, 2018; ACDLec: [≥ 15 million] euros for the same financial year; target business: [≥ 15 million] euros for the same financial year). Given the turnover achieved by the companies concerned, the operation does not fall under the jurisdiction of the European Union. On the other hand, the thresholds related to retail trade mentioned in II of Article L. 430-2 of the Commercial Code are exceeded. This operation is therefore subject to the provisions of Articles L. 430-3 and following of the Commercial Code relating to economic concentration.  </w:t>
        <w:br/>
        <w:t xml:space="preserve">8. Competition authorities have distinguished six categories of commerce using several criteria, including store size, sales techniques, accessibility, the nature of the service provided, and the range of products offered: (i) hypermarkets (predominantly food stores with a legal sales area exceeding 2,500 m²), (ii) supermarkets (between 400 and 2,500 m²), (iii) specialized trade, (iv) small retail trade (less than 400 m²), (v) maxi discounters, and (vi) mail order sales.  </w:t>
        <w:br/>
        <w:t xml:space="preserve">9. In this case, the target store, which has a sales area of 8,210 m², falls into the category of hypermarkets.  </w:t>
        <w:br/>
        <w:t xml:space="preserve">10. Competition authorities consider that, while each category of store retains its specificity, there is asymmetric competition between certain of these categories. They thus distinguish, if the target store is a hypermarket:  </w:t>
        <w:br/>
        <w:t xml:space="preserve">- a market comprising only hypermarkets; and  </w:t>
        <w:br/>
        <w:t xml:space="preserve">- a market comprising supermarkets and equivalent forms of commerce (hypermarkets, maxi discounters, and popular stores), excluding small retail trade (commercial area less than 400 m²).  </w:t>
        <w:br/>
        <w:t xml:space="preserve">11. Furthermore, the Authority believes that depending on the size of the stores concerned, the conditions of competition can be assessed in two different geographical areas:  </w:t>
        <w:br/>
        <w:t xml:space="preserve">1 See the decisions of the Competition Authority No. 16-DCC-14 of January 29, 2016, regarding the joint control of a predominantly food retail store by the company Attindis alongside the Association of E. Leclerc Distribution Centers, No. 16-DCC-53 of April 15, 2016, regarding the joint control of a predominantly food business under the E. Leclerc brand by the Bernard spouses alongside the Association of E. Leclerc Distribution Centers, No. 16-DCC-211 of December 13, 2016, regarding the joint control of a business of the company Sodix by the ACDLec Association alongside the company Lacdis, and 19-DCC-63 of April 9, 2019, regarding the joint control of a predominantly food retail business by the company Thegadis alongside the Association of E. Leclerc Distribution Centers.  </w:t>
        <w:br/>
        <w:t>2 See paragraphs 6 to 17 of decision No. 19-DCC-63 of April 9, 2019, regarding the joint control of a predominantly food retail business by the company Thegadis alongside the Association of E. Leclerc Distribution Centers.</w:t>
      </w:r>
    </w:p>
    <w:p>
      <w:r>
        <w:t xml:space="preserve">- a first area where consumer demand and the supply of hypermarkets, which they can access within less than 30 minutes by car and which are, from their perspective, substitutable with each other, meet;  </w:t>
        <w:br/>
        <w:t xml:space="preserve">- a second area where consumer demand and the supply of supermarkets and other equivalent forms of commerce located within less than 15 minutes by car meet. These latter forms of commerce may include, in addition to supermarkets, hypermarkets located near consumers and discount stores.  </w:t>
        <w:br/>
        <w:t xml:space="preserve">12. If the target store is a hypermarket, as is the case here, the analysis is conducted in each of these two areas.  </w:t>
        <w:br/>
        <w:t xml:space="preserve">13. In this case, the market test conducted with market participants has refined the geographical dimension of the market where consumer demand and the supply of hypermarkets meet. The analysis has therefore been conducted on a geographical area corresponding to the Troyes urban area, which is narrower than that defined by a 30-minute driving radius.  </w:t>
        <w:br/>
        <w:t xml:space="preserve">14. First of all, the operation is likely to pose risks to competition through horizontal effects on the downstream market of food distribution by hypermarkets. The parties are indeed major players in the local market, already controlling one hypermarket in the catchment area of the target hypermarket, in which three other national brands are currently present, through four hypermarkets (two under the Carrefour brand, one under the Intermarché brand, and one under the Casino brand).  </w:t>
        <w:br/>
        <w:t xml:space="preserve">15. Following the operation, which has the effect of removing one of the four hypermarket brands in the Troyes urban area, the consumer will be deprived of an alternative offer, and above all, will concentrate the supply of hypermarkets between two brands that will together hold [90-100]% of the sales areas.  </w:t>
        <w:br/>
        <w:t xml:space="preserve">16. The parties, however, contest this examination and consider that it would be appropriate to recognize, in this case, the existence of competition exerted by supermarkets and maxi-discounters.  </w:t>
        <w:br/>
        <w:t xml:space="preserve">17. The in-depth examination of the operation will address this argument and also analyze any potential risks of creating or strengthening a purchasing power that places the local suppliers of the parties in a situation of economic dependence.  </w:t>
        <w:br/>
        <w:t>18. Given these elements, it is necessary to initiate an in-depth examination, pursuant to III of Article L. 430-5 of the Commercial Code.</w:t>
      </w:r>
    </w:p>
    <w:p>
      <w:r>
        <w:rPr>
          <w:b/>
        </w:rPr>
        <w:t>[Pages 4–4]</w:t>
      </w:r>
    </w:p>
    <w:p>
      <w:r>
        <w:t xml:space="preserve">DECIDES  </w:t>
        <w:br/>
        <w:t xml:space="preserve">Sole Article: The transaction notified under number 19-182 is subject to an in-depth examination under the conditions provided for in Article L. 430-6 of the Commercial Code.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