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https://www.autoritedelaconcurrence.fr/fr/decision-de-controle-des-concentrations/relative-prise-de-controle-exclusif-de-deux-fonds-de</w:t>
      </w:r>
    </w:p>
    <w:p>
      <w:r>
        <w:t>Pages translated : 2</w:t>
      </w:r>
    </w:p>
    <w:p/>
    <w:p>
      <w:r>
        <w:rPr>
          <w:b/>
        </w:rPr>
        <w:t>[Pages 1–2]</w:t>
      </w:r>
    </w:p>
    <w:p>
      <w:r>
        <w:t xml:space="preserve">FRENCH REPUBLIC  </w:t>
        <w:br/>
        <w:t xml:space="preserve">Decision No. 15-DCC-123 of September 15, 2015  </w:t>
        <w:br/>
        <w:t xml:space="preserve">regarding the exclusive control acquisition of two automobile distribution businesses by the company Pagnon Automobiles  </w:t>
        <w:br/>
        <w:t xml:space="preserve">The Competition Authority,  </w:t>
        <w:br/>
        <w:t xml:space="preserve">Having regard to the notification file sent to the mergers department on July 21, 2015, and declared complete on August 20, 2015, concerning the exclusive control acquisition of two automobile distribution businesses by the company Pagnon Automobiles, and formalized by a transfer agreement dated July 10,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two automobile distribution businesses belonging to the NCB Capital group and distributing vehicles of the brands Kia, Mazda, and Honda in the Rhône department (69), by the company Pagnon Automobiles, a subsidiary of the Vulcain group, which is itself active in the automobile distribution sector in the Rhône department (69).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15-127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