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https://www.autoritedelaconcurrence.fr/fr/decision-de-controle-des-concentrations/relative-prise-de-controle-exclusif-de-la-societe-de-la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11-DCC-53 of April 4, 2011  </w:t>
        <w:br/>
        <w:t xml:space="preserve">regarding the exclusive control acquisition of the company SNRPB  </w:t>
        <w:br/>
        <w:t xml:space="preserve">by the company Novabis  </w:t>
        <w:br/>
        <w:t xml:space="preserve">The Competition Authority,  </w:t>
        <w:br/>
        <w:t xml:space="preserve">Having regard to the complete notification file sent to the mergers department on March 16, 2011,  </w:t>
        <w:br/>
        <w:t xml:space="preserve">concerning the acquisition of the company Nouvelle Relais Paris Bale (hereinafter, "SNRPB") and its  </w:t>
        <w:br/>
        <w:t xml:space="preserve">subsidiary, the company Maigrot, by the company Novabis, formalized by a transfer protocol dated February 14,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company Novabis is the holding company of the Hacquart group, an authorized distributor and repairer of  </w:t>
        <w:br/>
        <w:t xml:space="preserve">automobiles in the Ardennes and the Marne.  </w:t>
        <w:br/>
        <w:t xml:space="preserve">2. The notified operation consists of the exclusive control acquisition of the company SNRPB and its  </w:t>
        <w:br/>
        <w:t xml:space="preserve">subsidiary, the company Maigrot, active in the distribution and repair of Renault and Dacia brand vehicles in Chaumont, Langres (52) and Bar sur Aube (10), by the company Novabis. It  </w:t>
        <w:br/>
        <w:t xml:space="preserve">constitutes a concentration operation within the meaning of Article L. 430-1 of the Commercial Code.  </w:t>
        <w:br/>
        <w:t xml:space="preserve">Considering the turnover achieved by the concerned companies, the operation does not  </w:t>
        <w:br/>
        <w:t xml:space="preserve">have a community dimension. On the other hand, the control thresholds related to  </w:t>
        <w:br/>
        <w:t xml:space="preserve">retail trade mentioned in point II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3.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11-0035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