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https://www.autoritedelaconcurrence.fr/fr/decision-de-controle-des-concentrations/relative-prise-de-controle-exclusif-des-societes-jeunesse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19-DCC-120 of June 25, 2019  </w:t>
        <w:br/>
        <w:t xml:space="preserve">regarding the exclusive control of the companies Jeunesse TV and  </w:t>
        <w:br/>
        <w:t xml:space="preserve">Lagardère Thématiques by the M6 group  </w:t>
        <w:br/>
        <w:t xml:space="preserve">The Competition Authority,  </w:t>
        <w:br/>
        <w:t xml:space="preserve">Having regard to the notification file submitted in full to the merger service on May 20, 2019,  </w:t>
        <w:br/>
        <w:t xml:space="preserve">regarding the exclusive control of the companies Jeunesse TV and Lagardère Thématiques by the  </w:t>
        <w:br/>
        <w:t xml:space="preserve">M6 group, formalized by an exclusivity letter signed on January 31, 2019, and a draft  </w:t>
        <w:br/>
        <w:t xml:space="preserve">contract for the transfer and acquisition of shares attached;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by the notifying party during the investigation;  </w:t>
        <w:br/>
        <w:t xml:space="preserve">Adopts the following decision:  </w:t>
        <w:br/>
        <w:t xml:space="preserve">1. The notified operation consists of the exclusive control by the M6 group of the companies  </w:t>
        <w:br/>
        <w:t xml:space="preserve">Jeunesse TV and Lagardère Thématiques. It constitutes a concentration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the acquisition of broadcasting rights  </w:t>
        <w:br/>
        <w:t xml:space="preserve">for television, the publishing and marketing of pay television channels falling under the category of  </w:t>
        <w:br/>
        <w:t xml:space="preserve">"other thematic," the distribution of pay television services, the sale of advertising space, and  </w:t>
        <w:br/>
        <w:t xml:space="preserve">management services for "talents and influencers." These markets are consistently defined by the  </w:t>
        <w:br/>
        <w:t xml:space="preserve">decision-making practice of the Competition Authority.  </w:t>
        <w:br/>
        <w:t xml:space="preserve">3. Regardless of the segmentations retained, the combined market shares of the parties are  </w:t>
        <w:br/>
        <w:t>below 25% and/or the increment of market shares resulting from the operation is less than</w:t>
      </w:r>
    </w:p>
    <w:p>
      <w:r>
        <w:t xml:space="preserve">two points when their activities overlap in the same market1 and 30% when their  </w:t>
        <w:br/>
        <w:t xml:space="preserve">activities are located in upstream, downstream, or related markets.  </w:t>
        <w:br/>
        <w:t xml:space="preserve">4. The Competition Authority received several contributions from interested third parties. These  </w:t>
        <w:br/>
        <w:t xml:space="preserve">contributions particularly concerned the risk of strengthening the position of the M6 group, following  </w:t>
        <w:br/>
        <w:t xml:space="preserve">the operation, regarding the acquisition of youth content, the publishing of paid music channels, and  </w:t>
        <w:br/>
        <w:t xml:space="preserve">the marketing of advertising space by target type. In the current decision-making practice, these  </w:t>
        <w:br/>
        <w:t xml:space="preserve">activities do not constitute relevant markets, and the elements of the file are not such as to challenge  </w:t>
        <w:br/>
        <w:t xml:space="preserve">this established practice.  </w:t>
        <w:br/>
        <w:t xml:space="preserve">5. Considering the elements of the file and notably in view of points 384 and 398 of the  </w:t>
        <w:br/>
        <w:t xml:space="preserve">guidelines of the Competition Authority relating to the control of concentrations, the operation  </w:t>
        <w:br/>
        <w:t xml:space="preserve">is not likely to harm competition.  </w:t>
        <w:br/>
        <w:t xml:space="preserve">1 Except for the market of publishing and marketing pay television channels falling under the category of  </w:t>
        <w:br/>
        <w:t xml:space="preserve">"other thematic" in the Indian Ocean area, where the combined market share of the parties is [20-30] %.  </w:t>
        <w:br/>
        <w:t xml:space="preserve">The increment being less than five points, any competition issue can be ruled out.  </w:t>
        <w:br/>
        <w:t>2</w:t>
      </w:r>
    </w:p>
    <w:p>
      <w:r>
        <w:t xml:space="preserve">DECIDES  </w:t>
        <w:br/>
        <w:t xml:space="preserve">Sole Article: The operation notified under number 19-101 is authorized.  </w:t>
        <w:br/>
        <w:t xml:space="preserve">The President,  </w:t>
        <w:br/>
        <w:t xml:space="preserve">Isabelle de Silva  </w:t>
        <w:br/>
        <w:t xml:space="preserve">© Competition Authority  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