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https://www.autoritedelaconcurrence.fr/fr/decision/relative-un-marche-de-construction-dun-pont-cajarc-lot</w:t>
      </w:r>
    </w:p>
    <w:p>
      <w:r>
        <w:t>Pages translated : 5</w:t>
      </w:r>
    </w:p>
    <w:p/>
    <w:p>
      <w:r>
        <w:rPr>
          <w:b/>
        </w:rPr>
        <w:t>[Pages 1–3]</w:t>
      </w:r>
    </w:p>
    <w:p>
      <w:r>
        <w:t>the notion of the lowest bidder in favor of the best bidder. Therefore, according to the Court, it is no longer possible to attribute to the infrastructure manager of the DDE of Lot an act contrary to the regulatory provisions concerning the order of presentation. It is also not established that this official knowingly provided the members of the tender commission with incorrect information.</w:t>
      </w:r>
    </w:p>
    <w:p>
      <w:r>
        <w:t>II. Discussion</w:t>
      </w:r>
    </w:p>
    <w:p>
      <w:r>
        <w:t>13. Under the terms of Article L. 464-6 of the Commercial Code: "When no practice likely to harm competition in the market is established, the Competition Council may decide, after the author of the referral and the Government Commissioner have been given the opportunity to consult the file and present their observations, that there is no need to pursue the proceedings."</w:t>
      </w:r>
    </w:p>
    <w:p>
      <w:r>
        <w:rPr>
          <w:b/>
        </w:rPr>
        <w:t>[Pages 4–5]</w:t>
      </w:r>
    </w:p>
    <w:p>
      <w:r>
        <w:t>the notion of the lowest bidder in favor of the best bidder. Therefore, according to the Court, it is no longer possible to attribute to the infrastructure manager of the DDE of Lot an act contrary to the regulatory provisions concerning the order of presentation. It is also not established that this official knowingly provided the members of the tender commission with incorrect information.</w:t>
      </w:r>
    </w:p>
    <w:p>
      <w:r>
        <w:t>II. Discussion</w:t>
      </w:r>
    </w:p>
    <w:p>
      <w:r>
        <w:t>13. Under the terms of Article L. 464-6 of the Commercial Code: "When no practice likely to harm competition in the market is established, the Competition Council may decide, after the author of the referral and the Government Commissioner have been given the opportunity to consult the file and present their observations, that there is no need to pursue the procedure."</w:t>
      </w:r>
    </w:p>
    <w:p>
      <w:r>
        <w:t>14. While the investigation established, on the one hand, that the company Bisseuil was aware of the names of the civil engineering companies admitted to tender, and on the other hand, that these companies had not implemented all the necessary resources to have a good chance of obtaining the contract, no agreement between the bidding companies for the Gaillac bridge contract in Cajarc, aimed at or capable of limiting the free exercise of competition, is demonstrated. Indeed, no element of the investigation allows for the classification of the bids submitted by the other bidding companies, alongside the Bisseuil/Capraro consortium, as cover bids. Furthermore, no evidence of information exchanges between the bidding companies has been reported.</w:t>
      </w:r>
    </w:p>
    <w:p>
      <w:r>
        <w:t>15. Regarding the joint submission of the companies Bisseuil and Capraro, no element collected during the investigation allows for the consideration that the use of such a structure could have been employed by these companies to implement coordinated practices aimed at or capable of limiting the free exercise of competition during the tender process.</w:t>
      </w:r>
    </w:p>
    <w:p>
      <w:r>
        <w:t>16. Finally, while the investigations conducted established that the company Bisseuil maintained frequent and regular contacts with several officials of the DDE during the preparation and awarding period of the bridge construction contract, and that these contacts allowed it to obtain technical information about the contract that could advantage its bid, this information provided by the project manager cannot be classified as anti-competitive collusion, as no element of the file demonstrates that it resulted from an agreement of intent between the project manager and the company Bisseuil aimed at favoring the consortium's proposal to the detriment of the other candidates.</w:t>
      </w:r>
    </w:p>
    <w:p>
      <w:r>
        <w:t>17. It follows from the above that the provisions of Article L. 464-6 of the Commercial Code should be applied.</w:t>
      </w:r>
    </w:p>
    <w:p>
      <w:r>
        <w:t>DECISION</w:t>
      </w:r>
    </w:p>
    <w:p>
      <w:r>
        <w:t>Single Article. - There is no need to pursue the procedure.</w:t>
      </w:r>
    </w:p>
    <w:p>
      <w:r>
        <w:t>Deliberated, on the oral report of Ms. Brun, by Ms. Aubert, Vice-President, presiding over the session, as well as Messrs. Flichy and Piot, members.</w:t>
      </w:r>
    </w:p>
    <w:p>
      <w:r>
        <w:t xml:space="preserve">The session secretary, The Vice-President, </w:t>
        <w:br/>
        <w:t xml:space="preserve">Christine Charron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