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https://www.autoritedelaconcurrence.fr/fr/decision/relative-un-marche-de-travaux-de-renovation-denceintes-militaires-montigny-les-metz</w:t>
      </w:r>
    </w:p>
    <w:p>
      <w:r>
        <w:t>Pages translated : 10</w:t>
      </w:r>
    </w:p>
    <w:p/>
    <w:p>
      <w:r>
        <w:rPr>
          <w:b/>
        </w:rPr>
        <w:t>[Pages 1–3]</w:t>
      </w:r>
    </w:p>
    <w:p>
      <w:r>
        <w:t xml:space="preserve">FRENCH REPUBLIC  </w:t>
        <w:br/>
        <w:t xml:space="preserve">Decision No. 07-D-36 of November 7, 2007  </w:t>
        <w:br/>
        <w:t xml:space="preserve">regarding a renovation works contract  </w:t>
        <w:br/>
        <w:t xml:space="preserve">for military enclosures in Montigny-les-Metz  </w:t>
        <w:br/>
        <w:t xml:space="preserve">The Competition Council (section IV),  </w:t>
        <w:br/>
        <w:t xml:space="preserve">Having regard to the letter registered on January 6, 2003, under number 03/0005 F, by which the Minister of Economy, Finance and Industry referred to the Competition Council behaviors observed in the context of a renovation contract for military enclosures in Montigny-Les-Metz (Moselle);  </w:t>
        <w:br/>
        <w:t xml:space="preserve">Having regard to Book IV of the Commercial Code relating to price freedom and competition;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October 9, 2007;  </w:t>
        <w:br/>
        <w:t>Adopts the following decision:</w:t>
      </w:r>
    </w:p>
    <w:p>
      <w:r>
        <w:t xml:space="preserve">I. Findings  </w:t>
        <w:br/>
        <w:t xml:space="preserve">A. THE RELEVANT MARKET  </w:t>
        <w:br/>
        <w:t xml:space="preserve">1. On May 6, 1999, the Engineering Establishment of Metz issued a call for tenders, notably for the adaptation of the sewage network of military enclosures in Montigny-Les-Metz (Moselle) to the requirements of the public network operating in a separate mode (lot no. 1). The deadline for receipt of offers was set for July 6, 1999.  </w:t>
        <w:br/>
        <w:t xml:space="preserve">2. This contract also provided for the renovation by burying of the overhead electrical network (lot no. 2), as well as the construction of a new heating network from a cogeneration plant at the Metz power plant (lot no. 3). The refurbishment of outdoor lighting and the complete overhaul of roadways were to be the subject of a subsequent contract.  </w:t>
        <w:br/>
        <w:t xml:space="preserve">3. It was specified: "the contract will be awarded to a group of joint companies whose representative will be the holder of lot no. 1 who is the only one authorized to withdraw the file."  </w:t>
        <w:br/>
        <w:t xml:space="preserve">4. The offers that were received are summarized, rounded, in the following table:  </w:t>
        <w:br/>
        <w:t xml:space="preserve">1st group 2nd group 3rd group 4th group  </w:t>
        <w:br/>
        <w:t xml:space="preserve">Sewage lot  </w:t>
        <w:br/>
        <w:t xml:space="preserve">Colas Est/Pertuy Soloroute Est Sade/Muller Weiler  </w:t>
        <w:br/>
        <w:t xml:space="preserve">Electricity lot  </w:t>
        <w:br/>
        <w:t xml:space="preserve">Forclum Forclum Santerne Forclum/  </w:t>
        <w:br/>
        <w:t xml:space="preserve">Heating lot  </w:t>
        <w:br/>
        <w:t xml:space="preserve">Nass/LSF1 Nass/LSF Nass/LSF Nass/LSF  </w:t>
        <w:br/>
        <w:t xml:space="preserve">Lot 30 679 092 33 304 670 32 687 675 33 052 232  </w:t>
        <w:br/>
        <w:t xml:space="preserve">Sewage  </w:t>
        <w:br/>
        <w:t xml:space="preserve">Lot 3 159 816 3 408 393 3 370 215 3 318 691  </w:t>
        <w:br/>
        <w:t xml:space="preserve">Electricity  </w:t>
        <w:br/>
        <w:t xml:space="preserve">Lot 11 475 682 11 535 900 12 307 030 12 225 253  </w:t>
        <w:br/>
        <w:t xml:space="preserve">Heating  </w:t>
        <w:br/>
        <w:t xml:space="preserve">Coordination fees 58 542 149 443 125 418 124 352  </w:t>
        <w:br/>
        <w:t xml:space="preserve">Total excluding tax (in francs) 45 403 132 48 398 406 48 490 338 48 720 528  </w:t>
        <w:br/>
        <w:t xml:space="preserve">5. The works were estimated at 30,648,589 F excluding tax by the project manager. The offers submitted by the four groups therefore exceeded the estimate by 48% to 59%, as highlighted by the investigation report.  </w:t>
        <w:br/>
        <w:t xml:space="preserve">6. Consequently, the director of the Engineering Establishment of Metz declared the contract unsuccessful.  </w:t>
        <w:br/>
        <w:t xml:space="preserve">1 The French sanitary  </w:t>
        <w:br/>
        <w:t>2</w:t>
      </w:r>
    </w:p>
    <w:p>
      <w:r>
        <w:t xml:space="preserve">B. THE COMPANIES THAT SUBMITTED BIDS FOR THE SEWAGE LOT  </w:t>
        <w:br/>
        <w:t xml:space="preserve">1. The company Cola Est (hereinafter "Colas")  </w:t>
        <w:br/>
        <w:t xml:space="preserve">7. This company is a public limited company, a subsidiary of Colas SA. Colas Est has secondary establishments, including one in Metz.  </w:t>
        <w:br/>
        <w:t xml:space="preserve">2. The company Pertuy Construction (hereinafter "Pertuy")  </w:t>
        <w:br/>
        <w:t xml:space="preserve">8. Between April 1999 and April 2000, three construction companies from eastern France, subsidiaries or sub-subsidiaries of Bouygues Construction, merged to form this company.  </w:t>
        <w:br/>
        <w:t xml:space="preserve">3. The company Soloroute Est (hereinafter "Soloroute")  </w:t>
        <w:br/>
        <w:t xml:space="preserve">9. The assets of Soloroute were subject to a universal transfer to Eiffage Travaux Publics in November 2006, and Eiffage Travaux Publics Est Picardie was substituted for Soloroute Est.  </w:t>
        <w:br/>
        <w:t xml:space="preserve">4. The company Sade CGTH (hereinafter "Sade")  </w:t>
        <w:br/>
        <w:t xml:space="preserve">10. This company is a public limited company organized into regional divisions, including one in Metz.  </w:t>
        <w:br/>
        <w:t xml:space="preserve">5. The company Muller  </w:t>
        <w:br/>
        <w:t xml:space="preserve">11. The company Muller Travaux Publics was subject to a judicial recovery procedure, and by judgment dated March 14, 2003, the commercial chamber of the high court of Metz approved the asset transfer plan of this company in favor of the companies Sogéa and Guintoli and set the date of enjoyment to April 22, 2003.  </w:t>
        <w:br/>
        <w:t xml:space="preserve">6. The company Weiler  </w:t>
        <w:br/>
        <w:t xml:space="preserve">12. This is a general partnership, a subsidiary of GTM Construction.  </w:t>
        <w:br/>
        <w:t xml:space="preserve">C. THE INVESTIGATION  </w:t>
        <w:br/>
        <w:t xml:space="preserve">13. The services of the General Directorate for Competition, Consumer Affairs and Fraud Control, seized by the director of the Engineering Establishment of Metz, conducted an investigation. A number of elements led them to suspect the existence of collusion among the bidders to leave the market to the consortium led by the companies Colas and Pertuy, whose offer was of a high amount.  </w:t>
        <w:br/>
        <w:t xml:space="preserve">1. SUSPICIONS OF OVERVALUATION OF THE LOWER OFFER  </w:t>
        <w:br/>
        <w:t xml:space="preserve">14. The investigation report concludes that the Colas-Pertuy offer reveals questionable costs that have increased the final cost. Thus, it is noted that although it was expressly stated in the CCTP that the complete overhaul of the roadways would be the subject of a second contract, this consortium had planned roadway refurbishment works for an amount of 2,334,000 F excluding tax.  </w:t>
        <w:br/>
        <w:t>15. The investigation report also notes that the engineering firm SEBA Ingénierie (hereinafter "SEBA"), which the consortium relied on, based on additional information obtained by Pertuy from the Engineering Establishment of Metz, removed from its final study pipes with a diameter of 160, to the extent of 900 linear meters.</w:t>
      </w:r>
    </w:p>
    <w:p>
      <w:r>
        <w:rPr>
          <w:b/>
        </w:rPr>
        <w:t>[Pages 4–6]</w:t>
      </w:r>
    </w:p>
    <w:p>
      <w:r>
        <w:t>(ml) for the wastewater network, and pipes with diameters of 200 and 250 to the extent of 1,062 to 2,482 ml and 1,009 ml respectively for the stormwater network, as planned in its initial studies. However, the Colas-Pertuy consortium, for its part, retained these items in its price breakdown.</w:t>
      </w:r>
    </w:p>
    <w:p>
      <w:r>
        <w:t>16. Furthermore, the investigation report highlights that SEBA had stated that it included the excavation work for wastewater and stormwater connections in items titled "EP network volumes" and "EU network volumes." However, these excavation items appear separately in the price breakdown presented by the Colas-Pertuy consortium.</w:t>
      </w:r>
    </w:p>
    <w:p>
      <w:r>
        <w:t>17. Finally, the investigation report reveals that the Colas-Pertuy consortium applied a significant margin to its price offer. Thus, commenting on a document titled "sanitation," Colas specified that it concerned the wastewater networks, stormwater, and the SNI connection of the main network. It indicated that the coefficients applied to the costs (labor, supplies, and materials) corresponded to the margin and overhead costs (management fees, file fees, study fees, management fees, site installation, center and headquarters fees, etc.). It particularly emphasized that a coefficient of 1.20 was applied to certain items and 1.40 to others, with 10% added to the coefficient of 1.20 for the item "lean concrete" appearing in a document titled "basin," to account for potential losses. However, it would appear from another document (reference 767) that the consortium further added a coefficient of 1.24 to the prices thus determined.</w:t>
      </w:r>
    </w:p>
    <w:p>
      <w:r>
        <w:t>18. It would therefore appear that the Colas-Pertuy consortium, although interested in this contract, significantly overvalued its offer.</w:t>
      </w:r>
    </w:p>
    <w:p>
      <w:r>
        <w:t>2. THE HOMOGENEITY OF OFFERS</w:t>
      </w:r>
    </w:p>
    <w:p>
      <w:r>
        <w:t>19. The investigation report indicates that the price breakdown submitted by each of the four groups for the sanitation lot is as follows:</w:t>
      </w:r>
    </w:p>
    <w:p>
      <w:r>
        <w:t>Designation          Colas-Pertuy      Soloroute      Sade-Muller      Weiler</w:t>
        <w:br/>
        <w:t>Wastewater network   5,234,000        5,148,530      5,724,986       5,315,900</w:t>
        <w:br/>
        <w:t>Stormwater network   12,779,000       13,248,650     13,584,481      13,595,500</w:t>
        <w:br/>
        <w:t>SNI connection       1,539,000        1,945,800      1,642,507       1,825,000</w:t>
        <w:br/>
        <w:t>Total excluding tax   19,552,000       20,342,980     20,951,974      20,806,400</w:t>
      </w:r>
    </w:p>
    <w:p>
      <w:r>
        <w:t>20. It is observed that the SEBA study office, working for the Colas-Pertuy consortium, made significant modifications to the price breakdown both in terms of its structure and the quantities necessary based on additional information obtained. In this regard, the investigation report includes, among other things, the following tables:</w:t>
      </w:r>
    </w:p>
    <w:p>
      <w:r>
        <w:t>Wastewater network (main network and SNI connection)</w:t>
        <w:br/>
        <w:t>Studies of Differences</w:t>
        <w:br/>
        <w:t>Designation       Definitive Study   P.U.2   Amount</w:t>
        <w:br/>
        <w:t>25/28 June 1999   (Quantities)</w:t>
        <w:br/>
        <w:t>D 160            0/900            0       900      237      24,300</w:t>
        <w:br/>
        <w:t>D 200            2,136            2,108   28       235      6,580</w:t>
        <w:br/>
        <w:t>D 315            742              766     24       280      6,720</w:t>
        <w:br/>
        <w:t>Total excavations 7,837/9,579     8,555   1,024    185      118,784</w:t>
        <w:br/>
        <w:t>Coating          1,530            1,165   363      185      67,155</w:t>
        <w:br/>
        <w:t>Pipes</w:t>
        <w:br/>
        <w:t>Inspection chamber 140            155     15       1,250    18,750</w:t>
        <w:br/>
        <w:t>Connection</w:t>
        <w:br/>
        <w:t>Inspection chamber D 1000 107      135     28       3,325    93,100</w:t>
        <w:br/>
        <w:t>Total difference excluding tax 335,389</w:t>
      </w:r>
    </w:p>
    <w:p>
      <w:r>
        <w:t>Stormwater network (main network and SNI connection)</w:t>
        <w:br/>
        <w:t>Studies of Study Difference</w:t>
        <w:br/>
        <w:t>Designation       P.U.3   Amount</w:t>
        <w:br/>
        <w:t>25/28 June 1999   Definitive (quantities)</w:t>
        <w:br/>
        <w:t>D 200            1,062/2,482   0       2,482    212      526,184</w:t>
        <w:br/>
        <w:t>D 250            1,009          0       1,009    212      213,908</w:t>
        <w:br/>
        <w:t>D 315            1,018/3,121   3,855   2,837    202      573,074</w:t>
        <w:br/>
        <w:t>D 400            886            928     42       238      9,986</w:t>
        <w:br/>
        <w:t>D 500            369/337        451     114      307      34,998</w:t>
        <w:br/>
        <w:t>D 600            415            253     162      392      63,504</w:t>
        <w:br/>
        <w:t>D 800            276            377     101      600      60,600</w:t>
        <w:br/>
        <w:t>D 1000           119/133        122     11       854      9,394</w:t>
        <w:br/>
        <w:t>D 1200           144            153     9        1,188    10,692</w:t>
        <w:br/>
        <w:t>D 1400           199            197     2        1,420    2,840</w:t>
        <w:br/>
        <w:t>Total excavations 18,174/21,812/20,468 21,264 3,638 80,291,040</w:t>
        <w:br/>
        <w:t>Coating          1,153/4,318/4,020 4,463 3,310 185,612,350</w:t>
        <w:br/>
        <w:t>Pipes</w:t>
        <w:br/>
        <w:t>Shoring          26              413     27       337      924</w:t>
        <w:br/>
        <w:t>Inspection chamber 201            321     120      4,122    496,640</w:t>
        <w:br/>
        <w:t>D 1000 U</w:t>
        <w:br/>
        <w:t>Total difference 2,938,332</w:t>
        <w:br/>
        <w:t>excluding tax</w:t>
      </w:r>
    </w:p>
    <w:p>
      <w:r>
        <w:t>21. These changes would result in a total difference of 3,273,721 F excluding tax, much larger than the difference between the offers from the different groups. In this regard, it is noted that the differences between the quantities determined by the four groups for each of the items are minimal compared to the differences resulting from the successive studies conducted by SEBA, particularly for the following stormwater items:</w:t>
        <w:br/>
        <w:t>- pipes with a diameter of 315: quantities in the offers ranging from 3,500 to 4,125 ml, a difference of 17.86% (difference between the items of successive SEBA studies: 278.68%)</w:t>
        <w:br/>
        <w:t>- pipe coating: quantities in the offers ranging from 3,654 to 4,463 m3, a difference of 22.14% (difference between the items of successive SEBA studies: 287.08%)</w:t>
        <w:br/>
        <w:t>- D 1000 inspection chamber: quantities in the offers ranging from 270 to 295 units, a difference of 9.26% (difference between the items of successive SEBA studies: 59.70%).</w:t>
      </w:r>
    </w:p>
    <w:p>
      <w:r>
        <w:t>22. According to the investigation report, in substance, these findings suggest that the homogeneity of the offers is not due to chance, as the developments in SEBA's technical studies show that the assessment of needs was far from obvious.</w:t>
      </w:r>
    </w:p>
    <w:p>
      <w:r>
        <w:t>23. The investigation report further emphasizes that the four groups interpreted certain clauses of the CCTP similarly. Thus, Article 5.11 of the CCTP relating to the sanitation lot provides that "after backfilling, the contractor shall establish a road surface identical to that which has been laid." However, Article 1.2 of the CCTP relating to general provisions specifies that "the works relating to the complete overhaul of roadways are excluded from this CCTP." A contract for the complete refurbishment of roadways was to be awarded subsequently, as indicated. However, the four groups would have planned very significant and closely related roadway works, as shown in the following table:</w:t>
      </w:r>
    </w:p>
    <w:p>
      <w:r>
        <w:t>Colas-Pertuy      Soloroute      Sade-Muller      Weiler</w:t>
        <w:br/>
        <w:t>2,334,000 F HT   3,125,000 F HT  2,742,022 F HT  3,421,200 F HT</w:t>
      </w:r>
    </w:p>
    <w:p>
      <w:r>
        <w:t>24. Moreover, the investigation report recalls that following a meeting held on June 29, 1999, at the Engineering Establishment of Metz, aimed at providing the Pertuy company with additional information, SEBA modified certain items of its study either by removing them or by specifying their content (see above paragraphs 15, 16, and 20) while all items were not only maintained in the price breakdown of the Colas-Pertuy consortium's offer but also appeared identically in the offers of the three other groups, with the exception that Soloroute and Weiler did not retain the item "excavations for connections."</w:t>
      </w:r>
    </w:p>
    <w:p>
      <w:r>
        <w:t>25. Furthermore, another parallel behavior was noted regarding the interpretation of the clauses concerning the inspection chambers with a diameter of 1000 and the connection inspection chambers (wastewater, stormwater). In this regard, SEBA indicated that "technically the number of D 1000 inspection chambers planned (...) corresponds to the layout of the pipes shown on our plans. However, the CCTP was subject to interpretation regarding these inspection chambers (clauses 2.1.1.2 and 2.1.1.3 of the CCTP). The requirements for self-cleaning could potentially allow for the elimination of these inspection chambers when it was solely a change of direction. The variation in these quantities according to the interpretations of the companies was of</w:t>
      </w:r>
    </w:p>
    <w:p>
      <w:r>
        <w:rPr>
          <w:b/>
        </w:rPr>
        <w:t>[Pages 7–9]</w:t>
      </w:r>
    </w:p>
    <w:p>
      <w:r>
        <w:t>nature to significantly vary the quantities from one company to another.” The quantities provided by SEBA in its final study were as follows:</w:t>
        <w:br/>
        <w:t>Wastewater network (main network and SNI connection)</w:t>
        <w:br/>
        <w:t>Designation Final study</w:t>
        <w:br/>
        <w:t>Connection chamber (U) 155</w:t>
        <w:br/>
        <w:t>D 1000 chamber (U) 135</w:t>
        <w:br/>
        <w:t>Stormwater network (main network and SNI connection)</w:t>
        <w:br/>
        <w:t>Designation Final study</w:t>
        <w:br/>
        <w:t>Connection chamber (U) 530</w:t>
        <w:br/>
        <w:t>D 1000 chamber (U) 321</w:t>
        <w:br/>
        <w:t>26. The investigation report notes that the quantities related to the items "connection chamber" for the wastewater network and "D 1000 chamber" for the stormwater network as listed in SEBA's final study were taken up in full or almost entirely by the Colas-Pertuy consortium. In contrast, the quantities related to the items "D 1000 chamber" (wastewater network: main network and SNI connection) and "connection chamber" (stormwater network: main network and SNI connection) retained by the consortium are significantly lower. The report emphasizes that the offers from the three other consortia on these items follow the same trend:</w:t>
        <w:br/>
        <w:t>Wastewater network: (main network and SNI connection)</w:t>
        <w:br/>
        <w:t>Designation Colas-Pertuy Soloroute Sade-Muller Weiler</w:t>
        <w:br/>
        <w:t>Connection Chamber (U) 155 187 152 176</w:t>
        <w:br/>
        <w:t>D 1000 Chamber (U) 10 34 10 28</w:t>
        <w:br/>
        <w:t>Stormwater network: (main network and SNI connection)</w:t>
        <w:br/>
        <w:t>Designation Colas-Pertuy Soloroute Sade-Muller Weiler</w:t>
        <w:br/>
        <w:t>Connection Chamber (EP) 37 36 34 0</w:t>
        <w:br/>
        <w:t>D 1000 Chamber (U) 295 295 270 275</w:t>
        <w:br/>
        <w:t>27. This parallelism confirms, according to the investigation report, exchanges of information between the consortia which, with the exception of Colas-Pertuy, would have been little interested in the contract, deliberately leaving it to the latter.</w:t>
        <w:br/>
        <w:t>28. The lack of interest from the three consortia other than Colas-Pertuy is also revealed by their uncertain composition. Thus, the engagement document of the Soloroute consortium, Forclum, Nass, and LSF, is not signed by Forclum, although an offer was made for the electricity lot. Similarly, the engagement document of the Weiler consortium, Forclum, Nass, and LSF is only signed by Weiler, although it contains price proposals for the electricity and heating lots.</w:t>
        <w:br/>
        <w:t>29. The investigation report finally highlights that, concerning the Sade-Muller, Santerne, Nass, and LSF consortium, it was not possible, for both Muller and Sade, to designate to the investigators the person responsible for studying the file within the Muller company.</w:t>
        <w:br/>
        <w:t>II. Discussion</w:t>
        <w:br/>
        <w:t>30. Under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w:t>
        <w:br/>
        <w:t>31. In competition law, as in criminal law, evidence is free. In the absence of direct evidence of an anti-competitive practice, the probative value of a set of indicators is not excluded if, after cross-checking, they constitute a set of serious, precise, and consistent presumptions even if, taken in isolation, they would not have a sufficiently probative character.</w:t>
        <w:br/>
        <w:t>32. Thus, in decision no. 04-D-03 of February 18, 2004, concerning practices identified during a call for tenders launched by the regional customs office of Marseille for the electrical compliance of the Joliette district, the Council found that four indicators demonstrated the existence of an exchange of information, notably the identical structure of the offers, identical additions and errors appearing in several offers, and a factual circumstance, the absence of site visits by the candidate companies before the submission of offers.</w:t>
        <w:br/>
        <w:t>33. In this case, the absence of visits and inspections as provided for in Article L. 450-4 of the Commercial Code in the premises of the companies concerned did not allow for the gathering of any potential direct evidence of anti-competitive collusion. Furthermore, the elements highlighted in the investigation report appear insufficient to constitute the set of serious, precise, and consistent indicators capable of demonstrating such collusion.</w:t>
        <w:br/>
        <w:t>34. Firstly, the difference between the price estimate by the project manager and the amount of the offers appears smaller than indicated in the investigation report. It is between 10 to 12 million F including tax, thus around 20 to 25% and not 48 to 59%. Indeed, the Engineering Establishment of Metz itself indicated that the initial price assessment was approximate: the offer study file by the establishment indicates in this regard that the project manager's study underestimated the cost of the contract by 8.6 million F including tax.</w:t>
        <w:br/>
        <w:t>35. Secondly, the homogeneity of the offers denounced in the investigation report, notably because they would all present similar differences with the study conducted by SEBA, is disputable.</w:t>
        <w:br/>
        <w:t>36. Generally, relatively close prices can result from the study of the file and a certain homogeneity of costs among the different bidders, particularly concerning materials.</w:t>
        <w:br/>
        <w:t>37. In this case, regarding the differences between the offers and SEBA's study, it should be noted that the tables reproduced in paragraph 20 of this decision do not allow for the conclusions drawn in the investigation report. On one hand, the investigation report highlights the most extreme discrepancies between the different versions of the study. On the other hand, all variations of the items between these different versions are added together to demonstrate the extent of the decrease in SEBA's assessment between its initial studies and its final study, whereas some of these items have decreased and others increased. Moreover, overall, even if SEBA's assessments may have indeed evolved significantly over time, for most items, the differences between SEBA's final study and the price breakdowns of the four consortia are far from being significant.</w:t>
        <w:br/>
        <w:t>38. Similarly, while the investigation report indicates that the Colas-Pertuy consortium added two items titled "excavations for wastewater connection" and "excavations for stormwater connection" compared to SEBA's final study and that these same items were also included in the price breakdown submitted by the Sade-Muller consortium for similar quantities, it must be noted that the prices of Colas-Pertuy and Sade-Muller are significantly different (591,840 F excluding tax and 383,320 F excluding tax) and that the other two consortia did not "add" these items. In this instance, the alleged parallel behavior is, in fact, lacking.</w:t>
        <w:br/>
        <w:t>39. Furthermore, the erroneous interpretation of Articles 1.2 and 5.11 of the CCTP attributed to all the consortia regarding the road resurfacing work is not established, as the companies convincingly indicated that the only work required under Article 5.11 necessitated significant backfilling tasks, explaining the level of the prices requested. It should be recalled in this regard that said article states: “after backfilling, the contractor will establish a road surface identical to that which has been removed.” However, the site involved laying more than 10 kilometers of pipes, which generated an excavation volume of around 30,000 m3.</w:t>
        <w:br/>
        <w:t>40. Thirdly, it is not sufficiently demonstrated that the Colas-Pertuy consortium provided information to the three other consortia. In particular, the consortium led by Sade-Muller conducted a site visit, as stated by a Sade representative, Mr. X…. The consortium indeed submitted a certificate of visit; otherwise, its offer would have been declared inadmissible.</w:t>
        <w:br/>
        <w:t>41. Finally, no evidence has been provided of the application of a double margin by the Colas-Pertuy consortium, which could result from certainty in winning the contract following an agreement. Contrary to what might have appeared at first glance, the file does not indicate an overlap of margins in the Colas-Pertuy offer. Indeed, the documents titled "sanitation" and "basin" were merely preparatory documents in which an approximate margin was retained to have a global price estimate, not retained for the final offer, the document corresponding to this last being titled "Raffenel and Colin districts in Montigny-Les-Metz," dated July 2, 1999, which states a single margin of 1.24.</w:t>
      </w:r>
    </w:p>
    <w:p>
      <w:r>
        <w:rPr>
          <w:b/>
        </w:rPr>
        <w:t>[Pages 10–10]</w:t>
      </w:r>
    </w:p>
    <w:p>
      <w:r>
        <w:t>42. The indices that remain in the file, notably the fact that some employees or former employees of the companies concerned do not remember having actually studied the file or that their company submitted a bid in conjunction with others, as troubling as they may be, do not allow for the determination of which individuals or companies engaged in the anti-competitive consultation. It should also be noted that the investigation did not address the circumstance that the same companies were found in different groups for the electricity and heating lots, such that it was not possible based on the investigation report to determine whether this configuration resulted from an agreement. When the file could be examined by the rapporteur, the age of the facts and the evolution of the companies involved no longer allowed for the necessary investigations to be conducted.</w:t>
      </w:r>
    </w:p>
    <w:p>
      <w:r>
        <w:t>43. It follows from the above that the provisions of Article L. 464-6 of the Commercial Code should be applied, as the practice of anti-competitive agreement has not been established.</w:t>
      </w:r>
    </w:p>
    <w:p>
      <w:r>
        <w:t>DECISION</w:t>
        <w:br/>
        <w:t>Single Article: There is no need to continue the proceedings.</w:t>
        <w:br/>
        <w:t>Deliberated on the report of Ms. Jaillon, by Ms. Aubert, Vice-President presiding over the session, Ms. Mader-Saussaye, as well as Messrs. Combe and Ripotot, members.</w:t>
        <w:br/>
        <w:t>The session secretary, The Vice-President,</w:t>
        <w:br/>
        <w:t>Marie-Anselme Lienafa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