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https://www.autoritedelaconcurrence.fr/fr/decision/relative-une-demande-davis-du-groupement-des-labellises-par-lassurance-maladie-sur-le</w:t>
      </w:r>
    </w:p>
    <w:p>
      <w:r>
        <w:t>Pages translated : 2</w:t>
      </w:r>
    </w:p>
    <w:p/>
    <w:p>
      <w:r>
        <w:rPr>
          <w:b/>
        </w:rPr>
        <w:t>[Pages 1–2]</w:t>
      </w:r>
    </w:p>
    <w:p>
      <w:r>
        <w:t xml:space="preserve">COUNCIL OF COMPETITION  </w:t>
        <w:br/>
        <w:t xml:space="preserve">Decision No. 99-D-27 of May 5, 1999  </w:t>
        <w:br/>
        <w:t xml:space="preserve">regarding a request for an opinion from the Group of Labelled Entities by Health Insurance on the  </w:t>
        <w:br/>
        <w:t xml:space="preserve">development of software intended for health professionals within the framework of the  </w:t>
        <w:br/>
        <w:t>Sesam/Vitale program</w:t>
      </w:r>
    </w:p>
    <w:p>
      <w:r>
        <w:t>The Competition Council (Section I),</w:t>
      </w:r>
    </w:p>
    <w:p>
      <w:r>
        <w:t>Having regard to the letter registered on July 29, 1998, under number A 251, by which the Group of Labelled Entities by Health Insurance referred the matter to the Competition Council, on the basis of Article 5 of the amended ordinance of December 1, 1986, relating to the freedom of prices and competition;</w:t>
      </w:r>
    </w:p>
    <w:p>
      <w:r>
        <w:t>Having regard to the amended ordinance No. 86-1243 of December 1, 1986, relating to the freedom of prices and competition, notably its Article 5, and the amended decree No. 86-1309 of December 29, 1986, adopted for its application;</w:t>
      </w:r>
    </w:p>
    <w:p>
      <w:r>
        <w:t>The rapporteur, the general rapporteur, and the Government Commissioner heard;</w:t>
      </w:r>
    </w:p>
    <w:p>
      <w:r>
        <w:t>Considering that under Article 5 of the aforementioned ordinance, the Competition Council "gives its opinion on any competition issue at the request of the Government. It may also give its opinion on the same issues at the request of local authorities, professional and trade union organizations, approved consumer organizations, agricultural chambers, craft chambers, or chambers of commerce and industry, regarding the interests for which they are responsible";</w:t>
      </w:r>
    </w:p>
    <w:p>
      <w:r>
        <w:t>Considering that the Council, consulted pursuant to Article 5 of the ordinance of December 1, 1986, cannot qualify practices, which are the subject of the request for an opinion, on the basis of Articles 7, 8, 10, and 12 of the said ordinance, such qualification falling within its contentious jurisdiction; that only, in fact, a contentious referral and the implementation of the adversarial procedure provided for in Title III of the ordinance are capable of allowing an assessment of the regularity of the practice considered in light of the provisions prohibiting unlawful agreements or anti-competitive abuses of a dominant position;</w:t>
      </w:r>
    </w:p>
    <w:p>
      <w:r>
        <w:t>Considering that the Group of Labelled Entities by Health Insurance (Glam) requests "the benefit of the Council's insight pursuant to ordinance No. 86-1243 of December 1, 1986 on the various articles that make up its scope of application," after which it may, if necessary, "refer to the competent jurisdictions"; that it limits itself to asking whether the practices it enumerates are reprehensible in light of Articles 7.1, 7.3, 8.1, 8.2, 10, and 12 of the ordinance;</w:t>
      </w:r>
    </w:p>
    <w:p>
      <w:r>
        <w:t>Considering that Glam does not raise any other competition issue concerning the interests for which it is responsible;</w:t>
      </w:r>
    </w:p>
    <w:p>
      <w:r>
        <w:t>Considering, in view of these elements, that the request must be declared inadmissible,</w:t>
      </w:r>
    </w:p>
    <w:p>
      <w:r>
        <w:t xml:space="preserve">Decides:  </w:t>
        <w:br/>
        <w:t>Single Article. - The request for an opinion registered under No. A 251 is declared inadmissible.</w:t>
      </w:r>
    </w:p>
    <w:p>
      <w:r>
        <w:t>Deliberated, on the oral report of Ms. Christine Servella-Huertas, by Mr. Cortesse, Vice-President, presiding over the session, Messrs. Lasserre and Rocca, members.</w:t>
      </w:r>
    </w:p>
    <w:p>
      <w:r>
        <w:t xml:space="preserve">The Secretary of the Session, The Vice-President, presiding over the session  </w:t>
        <w:br/>
        <w:t xml:space="preserve">Sylvie Grando Pierre Cortesse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