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https://www.autoritedelaconcurrence.fr/fr/decision/relative-une-demande-davis-presentee-par-la-commission-detude-des-activites-du-cesih-de</w:t>
      </w:r>
    </w:p>
    <w:p>
      <w:r>
        <w:t>Pages translated : 2</w:t>
      </w:r>
    </w:p>
    <w:p/>
    <w:p>
      <w:r>
        <w:rPr>
          <w:b/>
        </w:rPr>
        <w:t>[Pages 1–2]</w:t>
      </w:r>
    </w:p>
    <w:p>
      <w:r>
        <w:t xml:space="preserve">COMPETITION COUNCIL  </w:t>
        <w:br/>
        <w:t xml:space="preserve">Decision No. 99-D-83 of December 14, 1999  </w:t>
        <w:br/>
        <w:t xml:space="preserve">regarding a request for an opinion submitted by the Study Commission on the Activities of CESIH  </w:t>
        <w:br/>
        <w:t xml:space="preserve">of Burgundy  </w:t>
        <w:br/>
        <w:t xml:space="preserve">The Competition Council (standing committee),  </w:t>
        <w:br/>
        <w:t xml:space="preserve">Having regard to the letter registered on October 20, 1999, under No. A 283, by which the Study Commission on the Activities of CESIH of Burgundy referred to the Competition Council, based on Article 5 of the amended Ordinance of December 1, 1986, concerning the freedom of prices and competition, a request for an opinion on its activities carried out within a public health establishment;  </w:t>
        <w:br/>
        <w:t xml:space="preserve">Having regard to Ordinance No. 86-1243 of December 1, 1986, as amended, concerning the freedom of prices and competition, notably its Article 5, and Decree No. 86-1309 of December 29, 1986, as amended, taken for its application;  </w:t>
        <w:br/>
        <w:t xml:space="preserve">The rapporteur, the deputy rapporteur general, and the Government Commissioner heard;  </w:t>
        <w:br/>
        <w:t xml:space="preserve">Considering that under Article 5 of the aforementioned ordinance, the Competition Council "gives its opinion on any competition issue at the request of the Government; it may also give its opinion on the same issues at the request of local authorities, professional and trade union organizations, approved consumer organizations, agricultural chambers, craft chambers, or chambers of commerce and industry, regarding the interests for which they are responsible";  </w:t>
        <w:br/>
        <w:t xml:space="preserve">Considering that these provisions exhaustively enumerate the persons and organizations that may request the opinion of the Competition Council; that, consequently, the Council cannot consider requests for opinions from persons or organizations not belonging to one or the other of the categories mentioned in this enumeration;  </w:t>
        <w:br/>
        <w:t xml:space="preserve">Considering that the Centre d’étude des systèmes d’information hospitaliers (CESIH) of Burgundy is a regional hospital information structure without legal personality, attached, as a service, to the University Hospital Center of Dijon, a public health establishment; that it notably carries out activities of development, maintenance, and operation of information systems under the conditions provided, in particular, by Article L. 714-14 of the Public Health Code and specified in a circular from the Ministry of Employment and Solidarity dated April 14, 1999, regarding the modalities of intervention of regional hospital information structures; that it has created a study commission "responsible for determining under what conditions the activities of this structure may continue within the CHU of Dijon"; that the Study Commission on the Activities of CESIH of Burgundy therefore does not belong to one of the categories enumerated by the aforementioned Article 5, nor does the CESIH of Burgundy itself, of which the commission is an emanation, or the University Hospital Center of Dijon of which the CESIH is a service; that, consequently, it does not have the standing to refer a request for an opinion to the Council and that its request must be rejected,  </w:t>
        <w:br/>
        <w:t xml:space="preserve">Decides  </w:t>
        <w:br/>
        <w:t xml:space="preserve">Sole Article.- The request for an opinion registered under No. A 283 is declared inadmissible.  </w:t>
        <w:br/>
        <w:t xml:space="preserve">Deliberated, on the oral report of Mr. Véglis, by Mrs. Hagelsteen, president, Messrs. Cortesse and Jenny, vice-presidents.  </w:t>
        <w:br/>
        <w:t xml:space="preserve">The deputy rapporteur general, The president,  </w:t>
        <w:br/>
        <w:t xml:space="preserve">Jacques Le Pape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