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https://www.autoritedelaconcurrence.fr/fr/decision/relative-une-demande-de-mesures-conservatoires-presentee-par-la-compagnie-generale-de-0</w:t>
      </w:r>
    </w:p>
    <w:p>
      <w:r>
        <w:t>Pages translated : 4</w:t>
      </w:r>
    </w:p>
    <w:p/>
    <w:p>
      <w:r>
        <w:rPr>
          <w:b/>
        </w:rPr>
        <w:t>[Pages 1–3]</w:t>
      </w:r>
    </w:p>
    <w:p>
      <w:r>
        <w:t xml:space="preserve">FRENCH REPUBLIC  </w:t>
        <w:br/>
        <w:t xml:space="preserve">Decision No. 95-MC-15 of November 8, 1995  </w:t>
        <w:br/>
        <w:t xml:space="preserve">regarding a request for interim measures submitted  </w:t>
        <w:br/>
        <w:t xml:space="preserve">by the Compagnie générale de chauffe, Valenerg company, Utec S.A., Société auxiliaire de chauffage, Société lyonnaise d'exploitation et de chauffage,  </w:t>
        <w:br/>
        <w:t xml:space="preserve">Société d'exploitation de chauffage de Vénissieux  </w:t>
        <w:br/>
        <w:t xml:space="preserve">The Competition Council (permanent commission),  </w:t>
        <w:br/>
        <w:t xml:space="preserve">Considering the letter registered on September 22, 1995 under number M 171, by which the Compagnie générale de chauffe (C.G.C.), Valenerg company, Utec S.A. company, Société auxiliaire de chauffage (S.A.C.), Société lyonnaise d'exploitation et de chauffage (S.L.E.C.), Société d'exploitation de chauffage de Vénissieux (S.E.C.V.) referred to the Competition Council for a request for interim measures on the basis of Article 12 of Ordinance No. 86-1243 of December 1, 1986;  </w:t>
        <w:br/>
        <w:t xml:space="preserve">Considering the letters registered on October 17 and November 8, 1994 under number F 705 by which the aforementioned companies referred to the Competition Council regarding practices of Électricité de France (E.D.F.) that they consider anti-competitive;  </w:t>
        <w:br/>
        <w:t xml:space="preserve">Considering Ordinance No. 86-1243 of December 1, 1986 amended regarding price freedom and competition and Decree No. 86-1309 of December 29, 1986 amended taken for its application;  </w:t>
        <w:br/>
        <w:t xml:space="preserve">Considering Law No. 46-628 of April 8, 1946 amended on the nationalization of electricity and gas;  </w:t>
        <w:br/>
        <w:t xml:space="preserve">Considering Decree No. 55-662 of May 20, 1955 amended, regulating the relations between the establishments referred to in Articles 2 and 23 of the Law of April 8, 1946 and independent electricity producers;  </w:t>
        <w:br/>
        <w:t xml:space="preserve">Considering Decision No. 94-MC-14 of November 30, 1994;  </w:t>
        <w:br/>
        <w:t xml:space="preserve">Considering the observations presented by the Government Commissioner and Électricité de France;  </w:t>
        <w:br/>
        <w:t xml:space="preserve">Considering the other documents in the file;  </w:t>
        <w:br/>
        <w:t>The rapporteur, the general rapporteur, the Government Commissioner, and the representatives of the Compagnie générale de chauffe (C.G.C.), Société Valenerg, Utec S.A. company, Société auxiliaire de chauffage (S.A.C.), Société lyonnaise d'exploitation et de chauffage (S.L.E.C.), Société d'exploitation de chauffage de Vénissieux (S.E.C.V.) and Électricité de France heard;</w:t>
      </w:r>
    </w:p>
    <w:p>
      <w:r>
        <w:t xml:space="preserve">Considering that in addition to a referral subject to a substantive investigation, the Compagnie générale de chauffe (C.G.C.), Valenerg company, Utec S.A. company, Société auxiliaire de chauffage (S.A.C.), Société lyonnaise d'exploitation et de chauffage (S.L.E.C.), Société d'exploitation de chauffage de Vénissieux (S.E.C.V.) request the Competition Council, on the basis of Article 12 of the Ordinance of December 1, 1986:  </w:t>
        <w:br/>
        <w:t xml:space="preserve">'- that E.D.F. be ordered to fulfill its purchase obligation concerning the energy from the eleven plants (Eybens, Viriat, Lyon, Minguettes, Ravennes-les-Francs, Loudéac, L'Hermitage, Bignan, Caudan, Yainville, La Vaupalière, and Gaillon) starting from November 1, 1995, or failing that, from the first day corresponding to the beginning of the E.J.P. period which entails both the removal or physical withdrawal and the full payment of the price, namely not only the payment of the proportional price of the energy withdrawn but also the fixed premium;  </w:t>
        <w:br/>
        <w:t xml:space="preserve">'- that it be specified that the decision rendered by the Council on November 30, 1994 was understood as a rejection of the request conditioned by E.D.F.'s commitment to withdraw the produced energy and to pay the corresponding price in all its components, fixed premium and proportional price of the withdrawn energy.'  </w:t>
        <w:br/>
        <w:t xml:space="preserve">On the procedure:  </w:t>
        <w:br/>
        <w:t xml:space="preserve">Considering that it follows from the provisions of the aforementioned decree of December 29, 1986 that a request for interim measures, made in addition to a substantive referral to the Competition Council, can be presented at any time during the procedure and must be justified;  </w:t>
        <w:br/>
        <w:t xml:space="preserve">Considering that the present request for interim measures is linked to the aforementioned substantive referral, registered on October 17 and November 8, 1994, which is currently under investigation;  </w:t>
        <w:br/>
        <w:t xml:space="preserve">On the merits of the request for interim measures:  </w:t>
        <w:br/>
        <w:t xml:space="preserve">Considering that under the terms of Article 12 of the Ordinance of December 1, 1986, interim measures 'can only be taken if the practice denounced causes serious and immediate harm to the general economy, that of the relevant sector, to the interest of consumers or to the complaining company'; that they may involve the suspension of the concerned practice as well as an injunction to the parties to return to the previous state';  </w:t>
        <w:br/>
        <w:t xml:space="preserve">Considering, first, that the request to 'specify that the decision rendered by the Council on November 30, 1994 was understood as a rejection of the request conditioned by E.D.F.'s commitment to withdraw the produced energy and to pay the corresponding price in all its components, fixed premium and proportional price of the withdrawn energy' is not of the nature of those provided for by Article 12 of the Ordinance of December 1, 1986;  </w:t>
        <w:br/>
        <w:t xml:space="preserve">Considering secondly that the petitioning parties argue that, during the period 1994-1995, E.D.F. proceeded with the physical withdrawal of energy produced by the plants of the companies Valenerg S.L.E.C. and S.E.C.V. without paying the 'fixed premium'; that it is consequently reasonable to think that the E.J.P. period (peak day shedding) 1995-1996, likely to begin as early as November 1, 1995, 'risks unfolding in the same manner as the previous one, so that E.D.F. only partially fulfills its purchase obligation as defined by law by proceeding only with the physical withdrawal of energy without paying the corresponding price in full (proportional price + fixed premium)'; that they consider E.D.F.'s behavior to be likely to cause them serious and immediate harm; that indeed, the installations having been specifically constructed to produce peak energy cannot be converted or adapted to another energy demand; that due to E.D.F.'s legal monopsony, independent producers can only sell to the public establishment and thus have no other outlet; that Valenerg company (which operates eight sites) issued an invoice for the E.J.P. period 1994-1995 amounting to 50,499,967.98 F, paid to the extent of 20,871,457.73 F; that S.L.E.C. company (which operates two sites) issued an invoice during the same period amounting to 12,658,467.89 F paid to the extent of 4,702,313.95 F; that S.E.C.V. company (which operates one site) issued an invoice of 6,550,842.25 F paid to the extent of 2,608,643.21 F; that the significance of the amounts owed creates financial difficulties for the three companies involved; that while the amount of invoices due for the period 1995-1996 cannot obviously be quantified, the amounts mentioned above allow for an assessment of the future amounts at stake for the winter 1995-1996;  </w:t>
        <w:br/>
        <w:t>Considering that the examination of the accounting documents produced by the petitioning companies reveals that the revenue resulting from the peak electricity production of the plants for which a contract has not been signed represented in 1994 approximately 2% of the total revenue for S.L.E.C. company, 12% for Valenerg company, and 14% for S.E.C.V. company; that the operating results for these three companies were in 1994 respectively 5 million, 7 million, and 2.5 million francs; that the electricity produced by the plants that do not benefit from a contract is in any case removed by E.D.F.; that the fact that the non-payment of the fixed premium would be likely to deter potential investments in new production plants cannot be usefully invoked, as the decree of January 23, 1995 suspended the obligation to enter into purchase contracts for independent production, on the grounds that 'the current situation of production means and existing local distribution means in the metropolitan territory covered by interconnected networks allows to meet at any time and under satisfactory economic conditions the demand for electricity'; that thus the denounced practice is not likely to compromise the capacity for peak electricity production; that moreover E.D.F. proposed in its written observations, which were confirmed orally, that contracts be signed for a duration of nine years, in accordance with the arbitration rendered by the Minister of Industry on October 10, 1994, but with a reservation that the signing for nine years does not constitute a waiver by independent producers of legal actions aimed at obtaining a longer duration; that this signing would allow 'the immediate payment of the total remuneration to come as well as the full payment of the amounts provisionally withheld; that in any case, the immediate financial harm cannot be equated with the amounts owed by E.D.F. and mentioned above, but is limited to the cash flow cost generated by the non-payment of the amounts owed;</w:t>
      </w:r>
    </w:p>
    <w:p>
      <w:r>
        <w:rPr>
          <w:b/>
        </w:rPr>
        <w:t>[Pages 4–4]</w:t>
      </w:r>
    </w:p>
    <w:p>
      <w:r>
        <w:t>Considering that it follows from the above that it is not established that the practice denounced causes serious and immediate harm to the companies S.L.E.C., Valenerg, and S.E.C.V., necessitating the adoption of emergency measures; that, under these conditions, it is appropriate to reject the request for precautionary measures,</w:t>
      </w:r>
    </w:p>
    <w:p>
      <w:r>
        <w:t>Decides:</w:t>
        <w:br/>
        <w:t>Single Article. - The request for precautionary measures registered under number M 171 is rejected.</w:t>
        <w:br/>
        <w:t>Deliberated, on the oral report of Ms. Mathonnière, by Mr. Barbeau, president, Mr. Cortesse, vice-president, and Mr. Rocca replacing Mr. Jenny, vice-president,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