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https://www.autoritedelaconcurrence.fr/fr/decision/relative-une-demande-de-mesures-conservatoires-presentee-par-la-societe-active-enterprises</w:t>
      </w:r>
    </w:p>
    <w:p>
      <w:r>
        <w:t>Pages translated : 3</w:t>
      </w:r>
    </w:p>
    <w:p/>
    <w:p>
      <w:r>
        <w:rPr>
          <w:b/>
        </w:rPr>
        <w:t>[Pages 1–3]</w:t>
      </w:r>
    </w:p>
    <w:p>
      <w:r>
        <w:t xml:space="preserve">FRENCH REPUBLIC  </w:t>
        <w:br/>
        <w:t xml:space="preserve">Decision No. 92-MC-02 of January 7, 1992  </w:t>
        <w:br/>
        <w:t xml:space="preserve">regarding a request for protective measures submitted  </w:t>
        <w:br/>
        <w:t>by Active Enterprises Limited</w:t>
      </w:r>
    </w:p>
    <w:p>
      <w:r>
        <w:t xml:space="preserve">The Competition Council,  </w:t>
        <w:br/>
        <w:t xml:space="preserve">Having regard to the letter registered on November 28, 1991 under number M 91, by which Active Enterprises Limited requested the issuance of protective measures against the companies Nintendo and Bandai;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The rapporteur, the general rapporteur, the Government Commissioner, and the parties heard;</w:t>
      </w:r>
    </w:p>
    <w:p>
      <w:r>
        <w:t xml:space="preserve">Considering that Active Enterprises Limited, which manufactures and markets a video game cartridge named Action 52, compatible with the video game players of the company Nintendo whose products are distributed in France by its exclusive distributor, the company Bandai, denounces the practices of these two companies;  </w:t>
        <w:br/>
        <w:t>Considering that Active Enterprises Limited reports, on the one hand, threats of legal action that would have been made by the manager of the company Bandai against the European Telemarketing Company, tasked by Active Enterprises Limited to promote telemarketing operations with the television channels La Cinq and M 6, if the latter continued to broadcast advertisements for the product Action 52, and on the other hand, that three major retail chains would have canceled previously placed orders for the Action 52 cartridge due to threats they would have received from the company Bandai of not being restocked with Nintendo equipment if they purchased Action 52, and furthermore, that all Nintendo players would be equipped with an electronic lock system aimed at preventing the reading of any cartridge not manufactured by Nintendo;</w:t>
      </w:r>
    </w:p>
    <w:p>
      <w:r>
        <w:t xml:space="preserve">Considering that Active Enterprises Limited argues that by preventing its access to the market and by abusively exploiting the state of economic dependence in which it finds itself, the companies Nintendo and Bandai are disregarding the provisions of Articles 7 and 8 of the ordinance of December 1, 1986;  </w:t>
        <w:br/>
        <w:t xml:space="preserve">Considering that Active Enterprises Limited requests the Competition Council to take protective measures on the basis of Article 12 of the ordinance by issuing, on the one hand, an injunction aimed at prohibiting Nintendo and Bandai and/or their agents from adopting retaliatory measures or threatening to adopt such measures against any French company that would carry out sales, purchases, or advertising actions concerning the product Action 52, and on the other hand, an injunction aimed at ordering Nintendo and Bandai to send by registered letter to all persons and/or companies with whom they would have discussed the product Action 52 to inform them that they do not intend to adopt any commercial retaliatory measures;  </w:t>
        <w:br/>
        <w:t xml:space="preserve">Considering that Active Enterprises Limited did not limit itself, in its letters registered on November 28, 1991 and December 12, 1991, to requesting the issuance of protective measures, but also intended to bring the matter before the Council on the basis of Article 11 of the ordinance of December 1, 1986, even though said article was not expressly mentioned in its request; that indeed, it explains how the practices it denounces are contrary to Articles 7 and 8 of the ordinance of December 1, 1986; that the company Bandai is therefore not justified in claiming that the request subject to this decision would be inadmissible for not having been presented as a subsidiary to a substantive referral;  </w:t>
        <w:br/>
        <w:t xml:space="preserve">Considering that the application of the provisions of Article 12 of the ordinance of December 1, 1986 is conditional upon the finding of behaviors that may be covered by Articles 7 and 8 and which must be terminated without delay to prevent or cease a serious and immediate harm;  </w:t>
        <w:br/>
        <w:t xml:space="preserve">Considering that at the current stage of the procedure, it cannot be excluded that the aforementioned practices complained of by Active Enterprises Limited may fall within the scope of Articles 7 and 8 of the ordinance of December 1, 1986; that these practices will therefore be subject to an investigation of the case on the merits;  </w:t>
        <w:br/>
        <w:t xml:space="preserve">Considering that Active Enterprises Limited estimates the loss of revenue it would have suffered due to the practices it denounces at 1,455,000 dollars; that to determine this amount it compares its achievements to the sales forecasts it established for the French market;  </w:t>
        <w:br/>
        <w:t>But considering that Active Enterprises Limited does not establish either that its forecasts were realistic or that the deficit of its sales compared to these forecasts is entirely, or to a large extent, due to the practices it denounces; that furthermore, it does not provide any commercial, accounting, or financial elements regarding its sales forecasts and its activity in the various other countries whose markets it has prospected; that therefore it does not prove that the practices it alleges have caused it serious and immediate harm necessitating the adoption of emergency measures,</w:t>
      </w:r>
    </w:p>
    <w:p>
      <w:r>
        <w:t xml:space="preserve">Decides:  </w:t>
        <w:br/>
        <w:t xml:space="preserve">The request for protective measures registered under number M 91 is rejected.  </w:t>
        <w:br/>
        <w:t xml:space="preserve">Deliberated in section on the report of Mr. Vaissette, in its session of January 7, 1992, where sat:  </w:t>
        <w:br/>
        <w:t xml:space="preserve">Mr. Béteille, Vice-President;  </w:t>
        <w:br/>
        <w:t xml:space="preserve">Mr. Bon, Ms. Hagelsteen, Messrs. Schmidt, Sloan, members.  </w:t>
        <w:br/>
        <w:t xml:space="preserve">The General Rapporteur, The Vice-President,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