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https://www.autoritedelaconcurrence.fr/fr/decision/relative-une-demande-de-mesures-conservatoires-presentee-par-la-societe-agn-avocats</w:t>
      </w:r>
    </w:p>
    <w:p>
      <w:r>
        <w:t>Pages translated : 17</w:t>
      </w:r>
    </w:p>
    <w:p/>
    <w:p>
      <w:r>
        <w:rPr>
          <w:b/>
        </w:rPr>
        <w:t>[Pages 1–3]</w:t>
      </w:r>
    </w:p>
    <w:p>
      <w:r>
        <w:t>FRENCH REPUBLIC</w:t>
        <w:br/>
        <w:t>Decision No. 18-D-12 of July 18, 2018</w:t>
        <w:br/>
        <w:t>regarding a request for interim measures submitted</w:t>
        <w:br/>
        <w:t>by AGN Avocats Développement in</w:t>
        <w:br/>
        <w:t>the legal services sector</w:t>
        <w:br/>
        <w:t>The Competition Authority (section III),</w:t>
        <w:br/>
        <w:t>Considering the letters registered on December 5, 2017 under numbers 17/0226 F and 17/0227 M,</w:t>
        <w:br/>
        <w:t>by which AGN Avocats Développement referred to the Competition Authority</w:t>
        <w:br/>
        <w:t>practices implemented by the Bar Council of Toulouse and also requested</w:t>
        <w:br/>
        <w:t>the issuance of interim measures;</w:t>
        <w:br/>
        <w:t>Considering the business secrecy decisions No. 17-DSA-541 of December 13, 2017,</w:t>
        <w:br/>
        <w:t>No. 18-DSA-038 of January 24, 2018, and No. 18-DSA-096 of March 29, 2018;</w:t>
        <w:br/>
        <w:t>Considering Article 101 of the Treaty on the Functioning of the European Union (hereinafter "TFEU");</w:t>
        <w:br/>
        <w:t>Considering Book IV of the Commercial Code;</w:t>
        <w:br/>
        <w:t>Considering Law No. 71-1130 of December 31, 1971 reforming certain judicial and legal professions;</w:t>
        <w:br/>
        <w:t>Considering Decree No. 91-1197 of November 27, 1991 organizing the profession of lawyer;</w:t>
        <w:br/>
        <w:t>Considering Decree No. 2005-790 of July 12, 2005 relating to the rules of ethics of the</w:t>
        <w:br/>
        <w:t>profession of lawyer;</w:t>
        <w:br/>
        <w:t>Considering the normative decision No. 2005-003 amended taken by the National Bar Council adopting the national internal regulations (RIN) of the profession of lawyer;</w:t>
        <w:br/>
        <w:t>Considering the other documents in the file;</w:t>
        <w:br/>
        <w:t>Considering the observations presented by AGN Avocats Développement and the Bar Council of Toulouse;</w:t>
        <w:br/>
        <w:t>The rapporteur, the deputy general rapporteur, the Government Commissioner, and the representatives of AGN Avocats Développement and the Bar Council of Toulouse, heard during the session of April 10, 2018;</w:t>
        <w:br/>
        <w:t>Adopts the following decision:</w:t>
      </w:r>
    </w:p>
    <w:p>
      <w:r>
        <w:t>Summary1:</w:t>
        <w:br/>
        <w:t>AGN Avocats Développement has referred to the Competition Authority a set of practices implemented by the Bar Council of Toulouse that aim to limit its access to the market for legal services and thus block the development of the new economic model it proposes.</w:t>
        <w:br/>
        <w:t>The applicant criticizes several decisions by which the Bar Council of Toulouse refused the registration of AGN Avocats Développement in the Bar register, issued injunctions for the opacity of windows and the removal of pictograms against AGN Avocats Développement, and launched an incubator organizing, in particular, free legal consultations for businesses.</w:t>
        <w:br/>
        <w:t>The applicant also accuses the Bar Council of Toulouse of participating in an illegal agreement with several other bars, particularly that of Limoges, with a view to excluding it from the market. Furthermore, in its referral, AGN Avocats Développement argues that the Commission on Rules and Practices of the National Bar Council has favored the blockage of its economic model by the bars, through the drafting and dissemination of opinions interpreting the provisions of the national internal regulations in a systematically restrictive manner.</w:t>
        <w:br/>
        <w:t>AGN Avocats Développement has also submitted, in addition to its referral, a request for interim measures aimed at immediately ceasing the alleged behaviors.</w:t>
        <w:br/>
        <w:t>After analyzing the elements provided by the applicant, no serious and immediate harm to the general economy, to that of the concerned sector, to the interest of consumers, or to the complaining company is established. The Authority noted in particular that the Bar Council of Toulouse had ultimately proceeded with the registration of the applicant in the Bar, so that the Toulouse agency was now able to operate. It also found that the incubator provided only a very small number of legal consultations and that the applicant itself had the possibility of participating in the sessions organized by this incubator. The request for interim measures was therefore rejected. The examination of the referral on the merits continues.</w:t>
        <w:br/>
        <w:t>1 This summary is strictly informative. Only the reasons for the decision numbered below are authoritative.</w:t>
      </w:r>
    </w:p>
    <w:p>
      <w:r>
        <w:t>SUMMARY</w:t>
        <w:br/>
        <w:t>I. Findings .................................................................................... 4</w:t>
        <w:br/>
        <w:t>A. THE REFERRAL ...................................................................................................................................... 4</w:t>
        <w:br/>
        <w:t>B. THE SECTOR CONCERNED ............................................................................................................ 4</w:t>
        <w:br/>
        <w:t>1. THE LEGAL PROFESSION AND ITS ORGANIZATION ................................................. 4</w:t>
        <w:br/>
        <w:t>2. THE LIBERALIZATION OF COMMERCIAL COMMUNICATION FOR LAWYERS ........ 5</w:t>
        <w:br/>
        <w:t>C. THE ENTITIES CONCERNED ...................................................................................................... 5</w:t>
        <w:br/>
        <w:t>1. AGN AD .................................................................................................................... 5</w:t>
        <w:br/>
        <w:t>2. THE BAR COUNCIL OF TOULOUSE ................................................................. 6</w:t>
        <w:br/>
        <w:t>D. THE PRACTICES ALLEGED ................................................................................................... 6</w:t>
        <w:br/>
        <w:t>1. THE EXCLUSION PRACTICES AGAINST AGN AD ........................................ 6</w:t>
        <w:br/>
        <w:t>2. THE UNFAIR COMPETITION OF THE TOULOUSE BAR INCUBATOR ..... 8</w:t>
        <w:br/>
        <w:t>E. THE REQUEST FOR INTERIM MEASURES ................................................................. 8</w:t>
        <w:br/>
        <w:t>1. INITIAL REQUESTS ............................................................................................. 8</w:t>
        <w:br/>
        <w:t>2. NEW REQUESTS ............................................................................................ 9</w:t>
        <w:br/>
        <w:t>II. Discussion ....................................................................................... 9</w:t>
        <w:br/>
        <w:t>A. ON THE RELEVANT MARKET ................................................................................................. 10</w:t>
        <w:br/>
        <w:t>B. ON THE ADMISSIBILITY OF THE REFERRAL ........................................................................ 11</w:t>
        <w:br/>
        <w:t>1. ON THE JURISDICTION OF THE AUTHORITY ................................................................... 11</w:t>
        <w:br/>
        <w:t>Reminder of applicable principles ........................................................................ 11</w:t>
        <w:br/>
        <w:t>Application to the case at hand................................................................................ 13</w:t>
        <w:br/>
        <w:t>2. ON THE PRACTICES IN QUESTION ................................................................................ 13</w:t>
        <w:br/>
        <w:t>C. ON THE REQUEST FOR INTERIM MEASURES ................................................................. 14</w:t>
        <w:br/>
        <w:t>1. ON THE SERIOUS AND IMMEDIATE HARM TO THE COMPLAINING COMPANY ............... 15</w:t>
        <w:br/>
        <w:t>2. ON THE SERIOUS AND IMMEDIATE HARM TO THE GENERAL ECONOMY, TO THE</w:t>
        <w:br/>
        <w:t>CONCERNED SECTOR, AND TO THE INTEREST OF CONSUMERS ................................................... 16</w:t>
        <w:br/>
        <w:t>III. Conclusion .................................................................................... 16</w:t>
      </w:r>
    </w:p>
    <w:p>
      <w:r>
        <w:rPr>
          <w:b/>
        </w:rPr>
        <w:t>[Pages 4–6]</w:t>
      </w:r>
    </w:p>
    <w:p>
      <w:r>
        <w:t xml:space="preserve">I. Findings  </w:t>
        <w:br/>
        <w:t xml:space="preserve">A. THE REFERRAL  </w:t>
        <w:br/>
        <w:t xml:space="preserve">1. By registered letters dated December 5, 2017, under numbers 17/0226 F and 17/0227 M, the company AGN Avocats Développement (hereinafter "AGN AD") referred to the Competition Authority practices implemented by the Bar Association of Toulouse (hereinafter "the Bar of Toulouse") in the legal services sector.  </w:t>
        <w:br/>
        <w:t xml:space="preserve">2. The referral is accompanied by a request for interim measures presented on the basis of Article L. 464-1 of the Commercial Code.  </w:t>
        <w:br/>
        <w:t xml:space="preserve">B. THE SECTOR CONCERNED  </w:t>
        <w:br/>
        <w:t xml:space="preserve">1. THE LEGAL PROFESSION AND ITS ORGANIZATION  </w:t>
        <w:br/>
        <w:t xml:space="preserve">3. The legal profession is governed by Law No. 71-1130 of December 31, 1971, reforming certain judicial and legal professions (hereinafter "the 1971 Law"), by several decrees (see, for example, Decree No. 91-1197 of November 27, 1991, organizing the legal profession, and Decree No. 2005-790 of July 12, 2005, relating to the ethical rules of the legal profession), as well as by the normative decision No. 2005-003 of the National Council of Bars (hereinafter "CNB") adopting the national internal regulations (hereinafter "RIN") of the legal profession, which has been amended several times since 2005.  </w:t>
        <w:br/>
        <w:t xml:space="preserve">4. The legal profession is also organized into bars established at the courts of first instance. Each bar has legal personality and is administered by a council of the order, which is responsible for the internal regulations, the list of lawyers, and discipline. At its head, a bâtonnier is elected for two years, who represents the bar.  </w:t>
        <w:br/>
        <w:t xml:space="preserve">5. Furthermore, the legal profession is represented, both nationally and internationally, by the CNB. It is a public utility establishment with legal personality created by Law No. 90-1259 of December 31, 1990, reforming certain judicial and legal professions, and its purpose is to ensure the unity of the profession, harmonize its rules and practices, and represent it before French and foreign public authorities. Since the law of February 11, 2004, it has normative power for establishing the RIN. Within the CNB, fifteen permanent commissions, including the Commission on Rules and Practices mentioned by the referrer, are responsible for studying subjects within their competencies and submitting their work to the general assembly.  </w:t>
        <w:br/>
        <w:t xml:space="preserve">6. Lawyers perform legal advisory missions as well as assistance and representation before courts.  </w:t>
        <w:br/>
        <w:t xml:space="preserve">7. Lawyers are, in principle, compensated by fees freely set in agreement with their clients according to the provisions of Article 10 of the 1971 Law. The fees for procedural representation received by the lawyer in matters of real estate seizure, partition, auction, and judicial securities are, on the other hand, governed by Title IV bis of Book IV of the Commercial Code (Decree No. 2017-862 of May 9, 2017, relating to regulated fees for procedural representation in matters of real estate seizure, partition, auction, and judicial securities; Order of July 6, 2017, setting the same fees and Opinion No. 17-A-06 of March 27, 2017, concerning a draft decree relating to the same fees).  </w:t>
        <w:br/>
        <w:t xml:space="preserve">2. THE LIBERALIZATION OF COMMERCIAL COMMUNICATION FOR LAWYERS  </w:t>
        <w:br/>
        <w:t xml:space="preserve">8. European Directive No. 2006/123/EC of December 12, 2006, known as the "Services" Directive, imposes the removal of "total prohibitions on commercial communications of regulated professions" (Article 24 of the Services Directive). The professional rules that commercial communications of regulated professions must comply with "must be non-discriminatory, justified by an overriding reason of general interest, and proportionate" (Article 24 of the Services Directive).  </w:t>
        <w:br/>
        <w:t xml:space="preserve">9. Regarding lawyers, this provision has notably been transposed by Law No. 2014-344 of March 17, 2014, relating to consumption, whose Article 13 allows lawyers to advertise and engage in personalized solicitation. This commercial communication must provide "sincere information about the nature of the services offered" and respect "the essential principles of the profession" (Article 15 of Decree No. 2005-790 of July 12, 2005, relating to the ethical rules of the legal profession).  </w:t>
        <w:br/>
        <w:t xml:space="preserve">10. In this regard, Article 10 of the RIN frames the conditions under which lawyers' communication respects the essential principles of the profession. The RIN distinguishes "personal advertising" from "professional information" (Article 10.1). The latter includes designations (that is to say, according to Article 10.6.3 of the RIN, the trade name, sign, brand, designation or company name, or any other term by which a lawyer or a practice structure is identified or recognized), professional plaques, business cards, as well as all documents intended for correspondence. Professional information is subject to stricter rules (Articles 10.6.1 to 10.6.3) than those applicable to advertising (Articles 10.3 and 10.5). In particular, displaying areas of expertise on a professional plaque is prohibited in favor of only specializations that have been regularly obtained and have not been invalidated. Certificates of specialization are issued by the CNB after passing a professional interview before a jury.  </w:t>
        <w:br/>
        <w:t xml:space="preserve">11. The RIN does not mention the rules applicable to windows. Two opinions from the CNB's Commission on Rules and Practices, which has been tasked by the CNB to respond to requests for opinions "on the interpretation of the RIN, but also on all ethical questions related to the practice of the profession (...), formulated exclusively by bâtonniers or members of the councils of the order in office" (Ethical Opinion No. 2016/010) - equate a window to a professional plaque (Ethical Opinions No. 2015/002 of March 16, 2015, and No. 2016/010 of February 5, 2016) and consequently prohibit the display of areas of expertise.  </w:t>
        <w:br/>
        <w:t xml:space="preserve">C. THE ENTITIES CONCERNED  </w:t>
        <w:br/>
        <w:t xml:space="preserve">1. AGN AD  </w:t>
        <w:br/>
        <w:t xml:space="preserve">12. Established in January 2017 and registered in Paris, the SELAS AGN AD is a subsidiary of SELAS AGN Avocats, whose corporate purpose is the practice of the legal profession.  </w:t>
        <w:br/>
        <w:t xml:space="preserve">13. The founders of the parent company (established in July 2012) wish to develop a standardized agency model throughout the national territory, aimed at making lawyers more accessible to clients. To this end, the establishment of an agency on the ground floor with a window displaying the areas of expertise of the company (namely, family law, labor law, real estate, taxation, business law, contracts, and consumer and liability insurance) is preferred to ensure greater visibility for the firm. In addition, numerous online services are offered, and the display of fees charged, mainly flat-rate, aims to ensure a certain pricing transparency.  </w:t>
        <w:br/>
        <w:t xml:space="preserve">14. AGN Avocats is developing through external growth, via a franchise system, and internal growth, through its subsidiary AGN AD, the referrer in this case. All agencies, both franchised and owned, are members of the "AGN Avocats" network, which currently has about fifteen agencies across France. AGN AD opened 3 agencies in 2017, including one in Toulouse. The AGN Avocats network is materialized by a network agreement that provides members with: a pooling of means for practicing the profession, common training, a common logo, and common advertising. The network is financed by annual contributions and the billing of certain services to members (for example, in terms of training). On April 1, 2014, the Bar Association of Paris validated the network agreement.  </w:t>
        <w:br/>
        <w:t xml:space="preserve">2. THE BAR ASSOCIATION OF TOULOUSE  </w:t>
        <w:br/>
        <w:t xml:space="preserve">15. With more than 1,500 registered lawyers in 2017, the Bar of Toulouse is the fifth largest in France (behind Paris, Lyon, Hauts-de-Seine, and Marseille).  </w:t>
        <w:br/>
        <w:t xml:space="preserve">D. THE PRACTICES DENOUNCED  </w:t>
        <w:br/>
        <w:t xml:space="preserve">16. On October 3, 2017, AGN AD opened an agency in Toulouse. In its referral, AGN AD denounces the implementation by the council of the Bar Association of Toulouse of a practice aimed at excluding it from the market. Its referral also targets the creation of an incubator by the Bar of Toulouse.  </w:t>
        <w:br/>
        <w:t xml:space="preserve">1. THE EXCLUSION PRACTICES AGAINST AGN AD  </w:t>
        <w:br/>
        <w:t xml:space="preserve">17. Firstly, the referrer claims that the Bar Association of Toulouse attempted to deny it registration on the list while lacking any power to do so. Indeed, unlike the procedure applicable when opening a secondary office, the registration procedure on the list is merely declarative in the case of an inter-bar company (Article 11 of Decree No. 93-492 of March 25, 1993, implementing Law No. 90-1258 of December 31, 1990, relating to the practice in the form of companies of liberal professions subject to a legislative or regulatory status or whose title is protected).  </w:t>
        <w:br/>
        <w:t>18. In this regard, the Bar of Toulouse allegedly attempted to condition AGN AD's registration on the list to the compliance of its premises. By a resolution dated October 16, 2017, the administrative formation of the council of the Bar of Toulouse indeed ordered a visit to the premises of the AGN Avocats agency in Toulouse to assess them.</w:t>
      </w:r>
    </w:p>
    <w:p>
      <w:r>
        <w:rPr>
          <w:b/>
        </w:rPr>
        <w:t>[Pages 7–9]</w:t>
      </w:r>
    </w:p>
    <w:p>
      <w:r>
        <w:t xml:space="preserve">verify compliance with professional practice rules. Based on the home visit report dated October 27, 2017, the same council formation requested, by a resolution dated November 13, 2017, that the representatives of AGN Avocats "comply with the requirements of proper professional practice by removing the shower and sinks located in offices, enlarging the partition of the reception area, and making the window facing the street opaque." It also requested that the parties concerned justify the specializations corresponding to the areas of expertise displayed on the window. The resolution further specifies that the council members are considering "not granting the request" for registration of the company AGN AD in the register (reference 2088).  </w:t>
        <w:br/>
        <w:t xml:space="preserve">19. By a deliberation dated December 11, 2017, after the referral to the Authority of which the Toulouse Bar was informed (reference 2468), the administrative formation of the council of the order noted the registration of the inter-bar association SELAS AGN AD but ordered the following two modifications concerning the exterior appearance of the Toulouse agency:  </w:t>
        <w:br/>
        <w:t xml:space="preserve">- The "compliance of their professional premises by replacing the transparent window that does not guarantee the professional secrecy provided for by Article 2.1 of the RIN and Article 4 of the decree of July 12, 2015 with an opaque glass";  </w:t>
        <w:br/>
        <w:t xml:space="preserve">- And, having not justified the corresponding specializations, "the removal of the pictograms of the areas of law displayed on the window of their office, as they contravene the provisions of Articles 10.2 and 10.6 of the RIN, as well as Article 3 of the decree of July 12, 2005, and that they are also likely to mislead clients regarding the possession of specialization certificates."  </w:t>
        <w:br/>
        <w:t xml:space="preserve">20. According to AGN AD, this last resolution, although favorable to it regarding the registration in the order's register which allows it to access the Toulouse market, continues the strategy of exclusion by the Toulouse Bar against it. Its Toulouse agency would not be able to fully apply the economic model of AGN Avocats due to the injunctions to make the window opaque and to remove the pictograms. However, this transparency of information would be one of the essential characteristics of the AGN Avocats network. Similarly, the display on the agency's window of the areas of expertise associated with logos would aim to strengthen the proximity between the lawyer and clients.  </w:t>
        <w:br/>
        <w:t xml:space="preserve">21. Consequently, the complainant believes that the implementation of the injunctions from the council of the order would result, in its own words, in a "distortion" of the economic model developed by its parent company.  </w:t>
        <w:br/>
        <w:t xml:space="preserve">22. Furthermore, AGN Avocats considers that the Toulouse Bar is not competent to issue the aforementioned injunctions, as the representatives of the inter-bar association (the only ones holding management power) are subject to the ethical control of the Paris Bar Association.  </w:t>
        <w:br/>
        <w:t xml:space="preserve">23. Secondly, in support of its referral directed against the Toulouse Bar Association, AGN AD claims that the Commission on Rules and Practices of the CNB would have favored the blocking of its economic model by the bars through the drafting and dissemination of opinions interpreting the provisions of the RIN "in a systematically unfavorable manner to all subjects concerning directly or indirectly the economic model of AGN Avocats" (reference 86).  </w:t>
        <w:br/>
        <w:t xml:space="preserve">24. The complainant particularly argues that the Commission on Rules and Practices of the CNB would have taken a position against the display of areas of expertise on a lawyer's office window, equating the window to a professional plaque subject to strict rules applicable to personal information and on which only specializations certified by the CNB can be inscribed. According to it, the display of areas of expertise on the office front would fall under the more flexible regime of personal advertising.  </w:t>
        <w:br/>
        <w:t xml:space="preserve">25. Thirdly, the complainant invokes the existence of an illegal agreement between several bars, the objective of which would be to block the development of the AGN Avocats model in France. It particularly argues that the parallel behavior of the bars of Toulouse and Limoges, on the one hand, and the similarity of the arguments used to prevent the development of the AGN Avocats network, on the other hand, would reveal the existence of an agreement aimed at excluding it.  </w:t>
        <w:br/>
        <w:t xml:space="preserve">2. UNFAIR COMPETITION FROM THE TOULOUSE BAR INCUBATOR  </w:t>
        <w:br/>
        <w:t xml:space="preserve">26. In March 2017, the Toulouse Bar launched an incubator that organizes free legal clinics for entrepreneurs in the premises of the Toulouse Bar. The AGN AD agency in Toulouse would face competition from this incubator as it also wishes to develop a service offering dedicated to "startups."  </w:t>
        <w:br/>
        <w:t xml:space="preserve">27. Consequently, the complainant argues that the legal clinics organized within the framework of the Toulouse Bar incubator would have the effect of excluding private market players, including AGN AD.  </w:t>
        <w:br/>
        <w:t xml:space="preserve">E. REQUEST FOR CONSERVATORY MEASURES  </w:t>
        <w:br/>
        <w:t xml:space="preserve">1. INITIAL REQUESTS  </w:t>
        <w:br/>
        <w:t xml:space="preserve">28. In addition to its main referral, AGN AD has submitted a request for conservatory measures. In this regard, in its initial referral, the complainant requests the Authority to order the Toulouse Bar to:  </w:t>
        <w:br/>
        <w:t xml:space="preserve">- "register the SELAS AGN Avocats Développement, inter-bar association, in the order's register with its exact contact details and listing all our partners in accordance with the resolution of the Paris Bar council that has been sent to you and that is binding on you;  </w:t>
        <w:br/>
        <w:t xml:space="preserve">- subsequently modify the directory of the Toulouse Bar Association available on the Bar's website at the following address: https://www.avocats-toulouse.com/grandpublic/lannuaire-avocats/;  </w:t>
        <w:br/>
        <w:t xml:space="preserve">- update the RPVA keys of the individual partners of the SELAS AGN Avocats Développement and any subsequent requests to any competent body that may request it;  </w:t>
        <w:br/>
        <w:t xml:space="preserve">- withdraw the home visit report dated October 27, 2017, in light of the conditions under which it was conducted and carried out;  </w:t>
        <w:br/>
        <w:t xml:space="preserve">- withdraw any mission conferring on the Toulouse Bar incubator a market player role such as the clinics it is currently promoting;  </w:t>
        <w:br/>
        <w:t xml:space="preserve">- withdraw any mention of this type of activity on the Bar's website, on social networks, and more generally on any medium promoting this market activity;  </w:t>
        <w:br/>
        <w:t xml:space="preserve">- justify without delay to the Authority, which will inform the complaining company, the proper conduct and completion of each of the aforementioned injunctions;  </w:t>
        <w:br/>
        <w:t xml:space="preserve">- appoint within itself a representative in charge of interfacing between the complaining company and the Toulouse Bar Association so that the complaining company does not suffer any retaliatory measures during the examination phase of the request for conservatory measures and throughout the duration of the main referral procedure, in order to allow the complaining company to access the services of the order that a lawyer may need in the context of their activity or profession on an equal footing with other lawyers of the Bar."  </w:t>
        <w:br/>
        <w:t xml:space="preserve">29. AGN AD also requests the Authority to take any other measures it deems useful.  </w:t>
        <w:br/>
        <w:t xml:space="preserve">2. NEW REQUESTS  </w:t>
        <w:br/>
        <w:t xml:space="preserve">30. During the investigation, the first three aforementioned requests from AGN AD became moot, as the Toulouse Bar has, on the one hand, noted the registration of the AGN AD company in the order's register and, on the other hand, carried out the resulting administrative steps, namely the updating of the online directory of the Bar Association and the updating of the RPVA keys.  </w:t>
        <w:br/>
        <w:t xml:space="preserve">31. Nevertheless, the decision of the Toulouse Bar to register the AGN AD company in the order's register was accompanied by injunctions, which prompted two new requests for conservatory measures from the complainant. In its observations, AGN AD thus requests the Authority to order the Toulouse Bar to:  </w:t>
        <w:br/>
        <w:t xml:space="preserve">- "suspend the ordinal injunctions contained in the resolution of the Toulouse Bar council of December 11, 2017;  </w:t>
        <w:br/>
        <w:t xml:space="preserve">- withdraw these ordinal injunctions if the Authority deems that the home visit report of October 27, 2017, containing misleading deliberations, should be withdrawn."  </w:t>
        <w:br/>
        <w:t xml:space="preserve">II. Discussion  </w:t>
        <w:br/>
        <w:t>32. After specifying the relevant market concerned by the referral (A), it will be necessary to rule on the admissibility of the main referral (B), and then on the request for conservatory measures (C).</w:t>
      </w:r>
    </w:p>
    <w:p>
      <w:r>
        <w:rPr>
          <w:b/>
        </w:rPr>
        <w:t>[Pages 10–12]</w:t>
      </w:r>
    </w:p>
    <w:p>
      <w:r>
        <w:t>A. ON THE RELEVANT MARKET</w:t>
        <w:br/>
        <w:t>33. Regarding the material dimension of the relevant market, the decision-making practice identifies a market for legal advice and assistance (see in particular opinion No. 10-A-10 of May 27, 2010, concerning the introduction of the lawyer's countersignature for private deeds and decision No. 16-DCC-90 of June 16, 2016, concerning the exclusive takeover of the law firm Taj by Deloitte).</w:t>
        <w:br/>
        <w:t>34. In its advisory practice, the Competition Authority has also had the opportunity to specify that the segment of the market for legal services aimed at businesses includes advice, the drafting of legal documents, assistance, and representation before courts (see in particular opinion No. 97-A-12 of June 17, 1997, concerning the activity of accountants in the legal field and the aforementioned opinion No. 10-A-10).</w:t>
        <w:br/>
        <w:t>35. It is not excluded that this typology of legal services may, at the current stage of the investigation, be transposable to individuals.</w:t>
        <w:br/>
        <w:t>36. Furthermore, in certain segments of the market, particularly in advisory services, lawyers compete with other professions (Articles 56 and following of the 1971 law assign the activities of legal consultation and drafting of private deeds for others to several professionals, including lawyers), such as accountants and notaries.</w:t>
        <w:br/>
        <w:t>37. Regarding the geographical delimitation of the relevant market, both national practice (see in particular the aforementioned decision No. 16-DCC-90 and the aforementioned opinion No. 10-A-10) and European practice (see in particular the decision of the European Commission No. COMP/M.2816 of September 5, 2002, Ernst &amp; Young France/Andersen France) identify a national dimension for the market of legal advice and assistance.</w:t>
        <w:br/>
        <w:t>38. Indeed, each country presents a specific legal framework, and in France, without prejudice to the possibility of exercising their activity in the European Union under the free provision of services (see the Council Directive of March 22, 1977, aimed at facilitating the effective exercise of the free provision of services by lawyers), lawyers essentially have national competence.</w:t>
        <w:br/>
        <w:t>39. The fact that certain activities are carried out by lawyers exclusively at a regional level (such as postulation where their competence is limited to the court of appeal within the jurisdiction where they have established their professional residence, or to activities related to certain matters, such as real estate seizure or auction), and that the application of ethical rules is decentralized to a regional level does not seem to undermine this national dimension. As the applicant points out, due to the rise of the internet, clients do not hesitate to seek lawyers located in geographically distant jurisdictions, whom they choose for their expertise in certain areas or for the attractiveness of their fees.</w:t>
        <w:br/>
        <w:t>40. In any case, it is not necessary, at this stage of the investigation, to define the market precisely, as the sector has been sufficiently identified and to the extent that, regardless of the delimitation retained, the conclusions of this analysis would remain unchanged.</w:t>
      </w:r>
    </w:p>
    <w:p>
      <w:r>
        <w:t>B. ON THE ADMISSIBILITY OF THE REFERRAL</w:t>
        <w:br/>
        <w:t>1. ON THE JURISDICTION OF THE AUTHORITY</w:t>
        <w:br/>
        <w:t>Reminder of applicable principles</w:t>
        <w:br/>
        <w:t>41. The Tribunal des conflits has ruled that, while the rules defined in Book Four of the Commercial Code, relating to the freedom of prices and competition, apply to all production, distribution, and service activities, including those carried out by public entities, particularly within the framework of public service delegation agreements, the Authority is not competent to sanction violations of rules prohibiting anti-competitive practices "with regard to decisions or acts concerning the organization of the public service or implementing public authority prerogatives" (decision of May 4, 2009, of the Tribunal des conflits, "Société Editions Jean-Paul Gisserot," No. 3714, in the collection).</w:t>
        <w:br/>
        <w:t>42. In the same vein, the Court of Cassation has ruled that "the decisions by which public entities or private entities entrusted with a public service exercise the mission assigned to them and implement public authority prerogatives, which may constitute acts of production, distribution, and services within the meaning of Article 53 of the ordinance of December 1, 1986, fall outside the jurisdiction of the Competition Council" (judgment of the Court of Cassation of May 16, 2000, "Semmaris," No. 98-11800, published in the bulletin).</w:t>
        <w:br/>
        <w:t>43. Having been seized several times regarding practices implemented by professional orders, the Competition Council, and then the Authority, have classified these as "bodies entrusted with a public service mission, that of ensuring compliance with professional duties and defending the honor of the profession," endowed for this purpose with public authority prerogatives (see for example decision No. 07-D-41 of November 28, 2007, concerning practices opposing the freedom of prices of services offered to healthcare establishments during calls for tenders in the field of anatomical-cytopathological examinations, point 81).</w:t>
        <w:br/>
        <w:t>44. The Competition Authority has specified the limits of its jurisdiction regarding decisions made by a professional order in the performance of the public service mission assigned to it: "it does not fall to the Competition Council to rule on the legality of (...) decisions as long as they are of an administrative nature; this latter notion implies not only that the decision in question was made in the performance of the public service mission of the private body from which it originates, but also that it involves the exercise of a public authority prerogative" (decision No. 09-D-17 of April 22, 2009, concerning the order of pharmacists).</w:t>
        <w:br/>
        <w:t>45. Conversely, it is established case law that the Competition Authority is competent when "these bodies intervene through their decisions outside of this mission or do not implement any public authority prerogative" (judgment of May 16, 2000, of the Court of Cassation, cited above). The Authority is also competent to examine the practices of a public or private entity exercising a public service mission when they are "detachable from the assessment of the legality of an administrative act" (decision of the Tribunal des conflits of October 18, 1999, Prefect of the Ile-de-France region, Prefect of Paris, No. 03174, in the collection).</w:t>
        <w:br/>
        <w:t>46. Thus, in the case concerning the National Order of Pharmacists, the Competition Council considered that the Order "can give its opinion to public authorities on questions within its competence," but that "it exceeds its mission by disseminating warnings that constitute a call for a collective boycott of home delivery of medications" (decision No. 97-D-18 of March 18, 1997, concerning practices identified in the home delivery of medications sector). Confirming this position, the Court of Cassation ruled that the statement from the Central Council of the Order, disseminated to regional councils, containing an inaccurate interpretation of the Public Health Code opposing home delivery of medications "did not manifest the exercise of a public authority prerogative, exceeded the public service mission conferred upon it as a professional order, and constituted an intervention in the market for home delivery of medications of which the Competition Council could take cognizance" (judgment of the Court of Cassation of May 16, 2000).</w:t>
        <w:br/>
        <w:t>47. Similarly, in a first case concerning the National Order of Dental Surgeons, the Competition Council considered that "when a professional order, exceeding the public service mission conferred upon it as a professional order, sends a letter or note to third parties in which it interprets the legislation applicable to its activity, it intervenes in a service activity falling within the scope of Article L. 410-1 of the Commercial Code" (decision No. 05-D-43 of July 20, 2005, concerning practices implemented by the Departmental Council of the National Order of Dental Surgeons of Puy-de-Dôme and the National Council of the National Order of Dental Surgeons).</w:t>
        <w:br/>
        <w:t>48. Similarly, in a second case concerning the National Order of Dental Surgeons, the Competition Council considered that it was competent to examine "behaviors that, because they invite professionals to adopt certain attitudes in the market in which they operate, in the form of warnings or instructions, constitute an intervention in a service activity." In this case, it found that the order councils had exceeded their public service mission by not limiting themselves to publishing in their various institutional communication channels the new opinion withdrawing a previous opinion from the National Council and by disseminating to all professionals, via circular letter, an erroneous interpretation of the new opinion suggesting that it implied the termination or non-adherence of dental surgeons to certain protocols. The Competition Council found that the deliberately erroneous communication established by the order bodies aimed, in this case, to eliminate the company Santéclair from the market (decision No. 09-D-07 of February 12, 2009, concerning a referral from the company Santéclair against practices implemented in the complementary health insurance market).</w:t>
        <w:br/>
        <w:t>49. The Court of Cassation confirmed this position by ruling that "the National Council of the Order and certain departmental councils, by sending a standard letter and a circular to all dental surgeons in their jurisdiction, in order to encourage them not to adhere to or to terminate their adherence to the disputed agreements, and by clearly implying that its decision to withdraw the opinion of September 20, 2001, involved such consequences, disseminated an interpretation of the scope of ethical opinions on the protocols proposed to dental surgeons, that they did not exercise any public authority prerogative [...] when they made known [...], by circular, to the practitioners registered with the order the content of this letter, that the threats directed against these practitioners in the circular addressed to them did not constitute the implementation of a binding mechanism, of a disciplinary nature and articulated in the name of the general interest and public action" (judgment of the Court of Cassation of June 7, 2011, National Council of the Order of Dental Surgeons, No. 10-12038, p. 4).</w:t>
      </w:r>
    </w:p>
    <w:p>
      <w:r>
        <w:rPr>
          <w:b/>
        </w:rPr>
        <w:t>[Pages 13–15]</w:t>
      </w:r>
    </w:p>
    <w:p>
      <w:r>
        <w:t>50. For its part, the Court of the European Union had the opportunity to rule on whether the practices of a professional order fell within the scope of Article 101 TFEU or constituted an activity of public authority not covered by these provisions. Regarding practices implemented by the National Order of Pharmacists, it held that "even if, in [the] circumstances [of the case], it is not necessary to take a definitive position on the question of the extent to which the exercise by the order of its disciplinary power relates to the exercise of a public authority prerogative, so that it falls outside the scope of Article 101 TFEU, it must still be specified that the existence of such a prerogative cannot provide absolute protection against any allegation of anti-competitive behavior, since the manifestly inappropriate exercise of such power would, in any case, constitute an abuse of that power" (judgment of the Court of the European Union of December 10, 2014, National Order of Pharmacists, T-90/11, paragraph 207). In this case, the Commission considered that the decisions adopted by this order had taken "the appearance, and only the appearance, of decisions falling within the exercise of public authority prerogatives" (Comm. Europ., December 8, 2010, National Order of Pharmacists, COMP/39510).</w:t>
      </w:r>
    </w:p>
    <w:p>
      <w:r>
        <w:t>Application to the case at hand</w:t>
        <w:br/>
        <w:t>51. In the present case, while the deliberations of the council of the bar of Toulouse previously cited may manifest the exercise of public authority prerogatives or relate to the organization of the public service for which the order is responsible, it cannot be ruled out that there may exist practices falling within the jurisdiction of the Authority, either because they are implemented outside the scope of the public service missions assigned to the orders and therefore constitute an intervention in a service activity, or because they do not involve the use of public authority prerogatives.</w:t>
      </w:r>
    </w:p>
    <w:p>
      <w:r>
        <w:t>2. ON THE PRACTICES IN QUESTION</w:t>
        <w:br/>
        <w:t>52. According to the case law of the Court of Cassation, "protective measures may be decided as long as the facts denounced appear likely, based on the elements presented in the debates, to constitute a practice contrary to Articles L. 420-1 or L. 420-2 of the Commercial Code, directly and certainly leading to a serious and immediate harm to the interests protected by Article L. 464-1 of the Commercial Code; the characterization of such a practice is not required at this stage of the procedure" (judgment of the Court of Cassation of October 4, 2016, Orange, no. 15-14158).</w:t>
      </w:r>
    </w:p>
    <w:p>
      <w:r>
        <w:t>53. In this case, some of the facts denounced by the complainant could be likely to constitute a collusive practice contrary to Article L. 420-1 of the Commercial Code.</w:t>
      </w:r>
    </w:p>
    <w:p>
      <w:r>
        <w:t>54. According to the Court of Justice, lawyers "exercise an economic activity and, therefore, constitute enterprises within the meaning of Articles 85, 86, and 90 of the Treaty [now Articles 101, 102, and 106 TFEU]" (ECJ, C-309/99 of February 19, 2002, Wouters, paragraph 49). The councils of the bar, like the CNB, are composed exclusively of lawyers. Regarding the former, their number is proportional to the number of lawyers registered in the bar. Regarding the CNB, it is composed of eighty lawyers registered with one of the French bars, elected by their peers. These bodies can therefore be considered as associations of enterprises within the meaning of competition law, and the practices they implement must be regarded as reflecting a concerted action among their members. This analysis is notably supported by the case law of the Court of Cassation, according to which a "professional order represents the community of its members, and (...) a practice likely to have an anti-competitive object or effect implemented by such an organization necessarily reveals a collusion, within the meaning of Article 7 of the ordinance of December 1, 1986, among its members" (judgment of the Court of Cassation of May 16, 2000, National Order of Pharmacists, no. 98-12612).</w:t>
      </w:r>
    </w:p>
    <w:p>
      <w:r>
        <w:t>55. In this case, the complainant denounces the implementation of a practice aimed at excluding the agency model it promotes, relying on the dissemination of opinions from the CNB's Commission on Rules and Practices that interpret the provisions of the RIN "in a systematically unfavorable manner regarding all subjects directly or indirectly concerning the economic model of AGN Avocats" (reference 86), particularly on the issue of displaying areas of expertise on a firm's window. It also invokes the existence of a collusion among several bars, the objective of which would be to prevent the development of its network of agencies in France. Indeed, at the beginning of 2018, the bar of Limoges refused twice the establishment of the AGN Avocats model (decisions of January 10, 2018, rejecting the request to open a secondary office and then of February 28, 2018, refusing registration of the company PFAL), leading the parent company of AGN AD to once again refer the matter to the Authority in February 2018.</w:t>
      </w:r>
    </w:p>
    <w:p>
      <w:r>
        <w:t>56. In light of the above, it cannot be ruled out, at this stage of the investigation, that certain denounced facts may characterize a collusion contrary to Article L. 420-1 of the Commercial Code.</w:t>
      </w:r>
    </w:p>
    <w:p>
      <w:r>
        <w:t>C. ON THE REQUEST FOR PROTECTIVE MEASURES</w:t>
        <w:br/>
        <w:t>57. Article L. 464-1 of the Commercial Code states that "the Competition Authority may, at the request of the minister responsible for the economy, the persons mentioned in the last paragraph of Article L. 462-1, or companies, and after hearing the parties involved and the Government Commissioner, take the protective measures requested or those it deems necessary. These measures can only be taken if the practice denounced causes serious and immediate harm to the general economy, to that of the sector concerned, to the interests of consumers, or to the complaining company. They may include the suspension of the practice concerned as well as an injunction to the parties to revert to the previous state. They must remain strictly limited to what is necessary to address the urgency."</w:t>
      </w:r>
    </w:p>
    <w:p>
      <w:r>
        <w:t>58. To determine whether the practices described above allow for the imposition of protective measures, it is necessary to assess the serious and immediate nature of the harm caused to the general economy, to the sector concerned, to the interests of consumers, or to the complaining company. These different harms do not constitute cumulative conditions, but alternative ones: serious and immediate harm identified in just one of these cases is sufficient to allow for the granting of protective measures. On the other hand, the seriousness and immediacy of the harm are two cumulative criteria. If these criteria are met, a protective measure may be imposed if there is a causal link between the denounced facts and the serious and immediate harm observed.</w:t>
      </w:r>
    </w:p>
    <w:p>
      <w:r>
        <w:t>59. AGN AD argues that the practices cause serious and immediate harm not only to its own interests but also to the general economy, to the sector concerned, and to the interests of consumers.</w:t>
      </w:r>
    </w:p>
    <w:p>
      <w:r>
        <w:t>1. ON THE SERIOUS AND IMMEDIATE HARM TO THE COMPLAINING COMPANY</w:t>
        <w:br/>
        <w:t>60. The requirement of serious and immediate harm to the situation of the complaining company necessitates demonstrating the effect on competition of the alleged practice.</w:t>
      </w:r>
    </w:p>
    <w:p>
      <w:r>
        <w:t>61. Serious and immediate harm may particularly result from cases in which "one or more companies could be excluded from the market, disappear before the end of the substantive procedure, or see their chances of development seriously compromised" (decision no. 13-D-16 of June 27, 2013, regarding a request for protective measures concerning practices implemented by the SNCF group in the passenger transport sector, paragraph 178).</w:t>
      </w:r>
    </w:p>
    <w:p>
      <w:r>
        <w:t>62. Conversely, the finding "of a mere loss of earnings is insufficient on its own to characterize the serious and immediate harm required for the granting of protective measures" (see in particular decision no. 10-D-38 of December 22, 2010, regarding a request for protective measures concerning practices implemented by PagesJaunes SA, paragraph 102).</w:t>
      </w:r>
    </w:p>
    <w:p>
      <w:r>
        <w:t>63. The alleged harm to the interests of the complainant company must also be the direct and certain consequence of the practices in question (see for example, decision no. 14-D-07 of July 23, 2014, regarding practices implemented in the sector of distribution of brown goods, particularly televisions, paragraph 211).</w:t>
      </w:r>
    </w:p>
    <w:p>
      <w:r>
        <w:t>64. In this case, the complainant argues that the practices of the bar of Toulouse contribute to preventing the development of its network of agencies. In support of its allegations, it notably mentions the abandonment of several agency opening projects by their proponent due to the current litigations, which cast doubt on the compliance of the AGN Avocats model with the rules of the profession. It fears that it will not be able to open any agency in 2018, whereas it opened 7 in 2017.</w:t>
      </w:r>
    </w:p>
    <w:p>
      <w:r>
        <w:t>65. Nevertheless, in light of the elements contained in the file, it is not established that these project abandonments are the direct consequence of the behavior of the bar of Toulouse.</w:t>
      </w:r>
    </w:p>
    <w:p>
      <w:r>
        <w:t>66. Furthermore, in December 2017, the bar of Toulouse proceeded with the registration of the inter-bar company in the order's register, as well as the administrative steps that follow, such as updating the online directory, assigning a court box, and updating the RPVA keys (the update is still ongoing regarding one of the two partners). In January 2018, the council of the order then modified the registration date in the register to coincide with the effective opening date of the agency, which was October 3, 2017.</w:t>
      </w:r>
    </w:p>
    <w:p>
      <w:r>
        <w:t>67. The Toulouse agency is therefore able to operate. The alleged loss of clients by the company (a little less than 20 clients out of 70, over a period of about two and a half months) due to the blockage of its registration with the bar has ceased and is not sufficient to characterize the serious and immediate harm required for the granting of protective measures.</w:t>
      </w:r>
    </w:p>
    <w:p>
      <w:r>
        <w:t>68. Regarding the incubator of the bar of Toulouse, even if the Authority were competent to assess the legality of the creation of such a service, this activity, given its low importance, is not likely to cause serious and immediate harm to the situation of the complainant. Since its creation in the first half of 2017, the sessions for entrepreneurs take place one afternoon per month and last for 2 hours and 30 minutes each. At a rate of 30 minutes per appointment, each session can accommodate five project holders. It follows from the documents produced by the bar of Toulouse that, over the last six months, no session has had more than two.</w:t>
      </w:r>
    </w:p>
    <w:p>
      <w:r>
        <w:rPr>
          <w:b/>
        </w:rPr>
        <w:t>[Pages 16–17]</w:t>
      </w:r>
    </w:p>
    <w:p>
      <w:r>
        <w:t xml:space="preserve">project holders, representing 40% of the capacity. The lawyers of AGN AD also have the option, like any lawyer registered with the Toulouse Bar, to participate in these sessions.  </w:t>
        <w:br/>
        <w:t xml:space="preserve">69. In light of these elements, the serious and immediate harm to the interests of AGN AD is not established in this case.  </w:t>
        <w:br/>
        <w:t xml:space="preserve">2. ON THE SERIOUS AND IMMEDIATE HARM TO THE GENERAL ECONOMY, TO THE SECTOR CONCERNED, AND TO THE INTERESTS OF CONSUMERS  </w:t>
        <w:br/>
        <w:t xml:space="preserve">70. The elements of the file do not demonstrate the existence of serious and immediate harm to the general economy, to the sector concerned, or to the interests of consumers.  </w:t>
        <w:br/>
        <w:t xml:space="preserve">71. The Toulouse Bar has also taken a number of measures allowing the Toulouse agency of AGN AD to operate normally and provide legal services to its clients.  </w:t>
        <w:br/>
        <w:t xml:space="preserve">72. It follows from the above that the conditions set by Article L. 464-1 of the Commercial Code for the imposition of precautionary measures are not met in this case.  </w:t>
        <w:br/>
        <w:t xml:space="preserve">III. Conclusion  </w:t>
        <w:br/>
        <w:t xml:space="preserve">73. In view of these elements, no serious and immediate harm to the general economy, to the sector concerned, to the interests of consumers, or to the complainant company can be characterized regarding the alleged facts. In accordance with Article L. 464-1 of the Commercial Code, the request for precautionary measures must therefore be rejected.  </w:t>
        <w:br/>
        <w:t>74. Nevertheless, at this stage of the investigation, it cannot be excluded that the elements submitted to the Authority by the complainant may characterize anti-competitive practices. The investigation must therefore continue on the merits.</w:t>
      </w:r>
    </w:p>
    <w:p>
      <w:r>
        <w:t xml:space="preserve">DECISION  </w:t>
        <w:br/>
        <w:t xml:space="preserve">Article 1: The investigation on the merits of the referral registered under number 17/0226 F shall continue.  </w:t>
        <w:br/>
        <w:t xml:space="preserve">Article 2: The request for precautionary measures registered under number 17/0227 M is rejected.  </w:t>
        <w:br/>
        <w:t xml:space="preserve">Deliberated following the investigation by Ms. Lucile Fournereau and Mr. Cyril Rollet, on the oral report of Ms. Lucile Fournereau, rapporteur, and the intervention of Mr. Thomas Piquereau, deputy general rapporteur, by Mr. Emmanuel Combe, vice-president, president of the session, Ms. Reine-Claude Mader and Ms. Carol Xueref, members.  </w:t>
        <w:br/>
        <w:t xml:space="preserve">The session secretary, The session president,  </w:t>
        <w:br/>
        <w:t xml:space="preserve">Armelle Hillion 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