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https://www.autoritedelaconcurrence.fr/fr/decision/relative-une-demande-de-mesures-conservatoires-presentee-par-la-societe-biwater</w:t>
      </w:r>
    </w:p>
    <w:p>
      <w:r>
        <w:t>Pages translated : 2</w:t>
      </w:r>
    </w:p>
    <w:p/>
    <w:p>
      <w:r>
        <w:rPr>
          <w:b/>
        </w:rPr>
        <w:t>[Pages 1–2]</w:t>
      </w:r>
    </w:p>
    <w:p>
      <w:r>
        <w:t xml:space="preserve">FRENCH REPUBLIC  </w:t>
        <w:br/>
        <w:t xml:space="preserve">Decision No. 90-MC-08 of May 10, 1990  </w:t>
        <w:br/>
        <w:t>concerning a request for interim measures submitted by the company Biwater</w:t>
      </w:r>
    </w:p>
    <w:p>
      <w:r>
        <w:t>The Competition Council</w:t>
      </w:r>
    </w:p>
    <w:p>
      <w:r>
        <w:t xml:space="preserve">Having regard to the letter registered on April 11, 1990, under number M 69, by which S.A. Biwater submitted to the Competition Council a request for interim measures against the departmental directorate of equipment of Ille-et-Vilaine, the hydraulic equipment office of Corsica, and S.A. Pont-à-Mousson, together with the additional observations of the company Biwater, registered on April 20 and 27, 1990;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observations presented by the Minister of Equipment, Housing, Transport, and the Sea registered on May 3, 1990;  </w:t>
        <w:br/>
        <w:t xml:space="preserve">Having regard to the observations presented by the intercommunal union for drinking water supply Vern Chantepie registered on May 3, 1990;  </w:t>
        <w:br/>
        <w:t xml:space="preserve">Having regard to the observations presented by the hydraulic equipment office of Corsica registered on May 3, 1990;  </w:t>
        <w:br/>
        <w:t xml:space="preserve">Having regard to the observations presented by the company Pont-à-Mousson registered on May 3, 1990;  </w:t>
        <w:br/>
        <w:t xml:space="preserve">Having regard to the observations of the Government Commissioner registered on May 3, 1990;  </w:t>
        <w:br/>
        <w:t xml:space="preserve">The rapporteur, the general rapporteur, the Government Commissioner, and the parties heard;  </w:t>
        <w:br/>
        <w:t>Considering that the company Biwater, whose activity of marketing ductile iron pipes and fittings began on September 1, 1988, claims in its aforementioned letter that the company Pont-à-Mousson disparages its products to public contracting authorities, project managers, and sanitation and water supply companies by falsely asserting that they do not comply with approved French standards; that it argues that this practice constitutes an abuse of the dominant position that the company Pont-à-Mousson allegedly holds in the market; that it further alleges that this practice has been supported by certain public contracting authorities as well as by departmental technical services; that the company Biwater requests the issuance of interim measures; that it specifies that this request concerns, on the one hand, the execution of a contract dated February 28, 1990, by which the intercommunal union for drinking water supply Vern Chantepie entrusted the execution of water supply works to the company Forclum, and on the other hand, the situation resulting from the contract by which, at the beginning of 1990, the company Pont-à-Mousson became, for four years, the sole supplier of water pipes and records for the hydraulic equipment office of Corsica;</w:t>
      </w:r>
    </w:p>
    <w:p>
      <w:r>
        <w:t xml:space="preserve">Considering that the company Biwater did not limit itself, in its letter registered on April 11, 1990, to requesting the issuance of interim measures, but also intended to bring the matter before the Council on the basis of Article 11 of the aforementioned ordinance of December 1, 1986; that if, under Article 12 of the decree of December 29, 1986, also mentioned above, a request for interim measures can only be made incidentally to a referral to the Council on the merits, no legislative or regulatory provision obliges the interested parties to present these requests in two separate documents; that moreover, the letter from the company Biwater has been subject to double registration; that the company Pont-à-Mousson is therefore not justified in arguing that the request subject to this decision is inadmissible due to not having been presented incidentally to a referral on the merits;  </w:t>
        <w:br/>
        <w:t xml:space="preserve">Considering that the application of the provisions of Article 12 of the ordinance of December 1, 1986 is conditional upon the observation of behaviors likely to fall within the scope of Articles 7 and 8 of the ordinance, and which should be terminated within a timeframe to prevent or cease a serious and immediate disturbance;  </w:t>
        <w:br/>
        <w:t xml:space="preserve">Considering that assuming that the practices denounced are of the nature referred to in Articles 7 and 8 of the ordinance of December 1, 1986, it does not result from the file in any case that, due to these practices, the company Biwater suffers an immediate serious harm, as was also admitted in the session by its director; that indeed, given its purpose to meet the needs for ductile iron piping that manifest throughout the territory, it does not justify that the harm resulting from its exclusion from the contracts awarded by the intercommunal union Vern Chantepie and the hydraulic equipment office of Corsica presents the characteristics that must characterize a harm to the company, since the company Biwater claims that it loses each month, due to these practices, about twenty contracts out of the twenty-five it should obtain, particularly considering its prices, these allegations are not accompanied by any evidence; that therefore, in the absence of the serious and immediate harm defined by Article 12 of the ordinance of December 1, 1986, the request for interim measures submitted by the company Biwater, which, moreover, does not specify the nature of these measures, must be rejected,  </w:t>
        <w:br/>
        <w:t xml:space="preserve">Decides:  </w:t>
        <w:br/>
        <w:t xml:space="preserve">Sole Article. - The request for interim measures registered under number M 69 is rejected.  </w:t>
        <w:br/>
        <w:t xml:space="preserve">Deliberated in permanent commission on the oral report of Mr. J.-P. Paitre, where sat:  </w:t>
        <w:br/>
        <w:t xml:space="preserve">Mr. Laurent, president;  </w:t>
        <w:br/>
        <w:t xml:space="preserve">Mr. Béteille, vice-president;  </w:t>
        <w:br/>
        <w:t xml:space="preserve">Mr. Gaillard, member of the Council, substituting for Mr. Pineau, vice-president, prevented.  </w:t>
        <w:br/>
        <w:t xml:space="preserve">The general rapporteur, The president,  </w:t>
        <w:br/>
        <w:t xml:space="preserve">F. Jenny P. Laurent  </w:t>
        <w:br/>
        <w:t>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