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https://www.autoritedelaconcurrence.fr/fr/decision/relative-une-demande-de-mesures-conservatoires-presentee-par-la-societe-cybervitrine</w:t>
      </w:r>
    </w:p>
    <w:p>
      <w:r>
        <w:t>Pages translated : 21</w:t>
      </w:r>
    </w:p>
    <w:p/>
    <w:p>
      <w:r>
        <w:rPr>
          <w:b/>
        </w:rPr>
        <w:t>[Pages 1–3]</w:t>
      </w:r>
    </w:p>
    <w:p>
      <w:r>
        <w:t>FRENCH REPUBLIC</w:t>
        <w:br/>
        <w:t>Decision No. 08-D-16 of July 3, 2008</w:t>
        <w:br/>
        <w:t>regarding a request for interim measures submitted by the</w:t>
        <w:br/>
        <w:t>company Cybervitrine against practices implemented by the</w:t>
        <w:br/>
        <w:t>company Photomaton</w:t>
        <w:br/>
        <w:t>The Competition Council (section I),</w:t>
        <w:br/>
        <w:t>Considering the letter dated February 11, 2008, registered under numbers 08/0019 F and</w:t>
        <w:br/>
        <w:t>08/0020 M, by which the company Cybervitrine referred to the Competition Council</w:t>
        <w:br/>
        <w:t>practices implemented by the company Photomaton and requested that interim measures</w:t>
        <w:br/>
        <w:t>be ordered based on Article L. 464-1 of the Commercial Code;</w:t>
        <w:br/>
        <w:t>Considering Articles 81 and 82 of the Treaty establishing the European Community;</w:t>
        <w:br/>
        <w:t>Considering Book IV of the Commercial Code relating to price freedom and competition;</w:t>
        <w:br/>
        <w:t>Considering the business secrecy decisions No. 08-DSA-56, No. 08-DSA-57, and No. 08-DSA-58 of</w:t>
        <w:br/>
        <w:t>April 22, 2008, and No. 08-DSADEC-35 of May 28, 2008;</w:t>
        <w:br/>
        <w:t>Considering the observations presented by the complainant and by the company involved;</w:t>
        <w:br/>
        <w:t>Considering the other documents in the file;</w:t>
        <w:br/>
        <w:t>The rapporteur, the deputy general rapporteur, the Government commissioner, and the</w:t>
        <w:br/>
        <w:t>representatives of the companies Cybervitrine and Photomaton, heard during the session of</w:t>
        <w:br/>
        <w:t>June 3, 2008;</w:t>
        <w:br/>
        <w:t>Adopts the following decision:</w:t>
      </w:r>
    </w:p>
    <w:p>
      <w:r>
        <w:t>I. Findings</w:t>
        <w:br/>
        <w:t>A. THE REFERRAL</w:t>
        <w:br/>
        <w:t>1. The company Cybervitrine referred to the Competition Council on February 11, 2008, practices</w:t>
        <w:br/>
        <w:t>implemented by the company Photomaton in the market for identity photograph booths and also</w:t>
        <w:br/>
        <w:t>requested the issuance of interim measures.</w:t>
        <w:br/>
        <w:t>B. THE SECTOR OF ACTIVITY CONCERNED BY THE REFERRAL</w:t>
        <w:br/>
        <w:t>2. This case concerns the sector of identity photography. Several methods allow for obtaining an</w:t>
        <w:br/>
        <w:t>identity photo. The user can photograph themselves and entrust the development of their photo to a</w:t>
        <w:br/>
        <w:t>specialized company; they can also use a digital camera and print their photo through their</w:t>
        <w:br/>
        <w:t>microcomputer equipment or have this printing done by an automatic self-service machine. They</w:t>
        <w:br/>
        <w:t>can also entrust all operations to a photographer. Finally, they can use an automatic booth.</w:t>
        <w:br/>
        <w:t>3. The number of identity photos taken per year can increase depending on various factors,</w:t>
        <w:br/>
        <w:t>including the introduction of new documents requiring the affixing of an identity photo or the</w:t>
        <w:br/>
        <w:t>decision to affix a photo on existing documents, as has recently been the case for the Carte Vitale,</w:t>
        <w:br/>
        <w:t>or decisions such as the overhaul in 2006 of the standards to be met for photographs intended for</w:t>
        <w:br/>
        <w:t>official documents. Furthermore, projects such as the free in-store RATP photos necessary for the</w:t>
        <w:br/>
        <w:t>Pass Navigo or the project entitled "Secure Electronic Titles," which provides that 2,000 town halls</w:t>
        <w:br/>
        <w:t>will be able to directly take photographs for biometric passports, will lead to a decrease in the</w:t>
        <w:br/>
        <w:t>number of identity photos acquired in booths or from photographers.</w:t>
        <w:br/>
        <w:t>4. In the overall market for identity photos, demand comes from individuals who want to have their</w:t>
        <w:br/>
        <w:t>image, and supply results from various operators implementing the different available techniques. Due</w:t>
        <w:br/>
        <w:t>to the diversity of these techniques and the significant variability of prices depending on the chosen</w:t>
        <w:br/>
        <w:t>technique, it is necessary to consider that this overall market separates into various relevant sub-markets.</w:t>
        <w:br/>
        <w:t>5. Associated with these various techniques and upstream of the overall market for identity photos and</w:t>
        <w:br/>
        <w:t>its various sub-markets, several markets can be identified where supply and demand concern the</w:t>
        <w:br/>
        <w:t>devices or equipment used to take identity photos.</w:t>
        <w:br/>
        <w:t>6. Among these upstream markets, two are particularly concerned by the facts alleged by the</w:t>
        <w:br/>
        <w:t>referring party: the market for the purchase and sale of automatic photography booths; the market for</w:t>
        <w:br/>
        <w:t>the operation of automatic booths at rented locations.</w:t>
      </w:r>
    </w:p>
    <w:p>
      <w:r>
        <w:t>7. In the first case, suppliers provide, for a more or less long duration, after-sales service on the</w:t>
        <w:br/>
        <w:t>machine, but the buyer retains total autonomy over its use, daily maintenance, and the collection of</w:t>
        <w:br/>
        <w:t>revenues, of which they keep the entirety. The purchase price of a booth ranges from 7,000 to 13,000 euros.</w:t>
        <w:br/>
        <w:t>8. The second case leads to the conclusion of an operating contract, sometimes referred to as a</w:t>
        <w:br/>
        <w:t>location concession contract or occupancy agreement, under which the operator of identity photograph</w:t>
        <w:br/>
        <w:t>booths installs and operates one (or more) booth(s) at a designated (or designated) location(s). The</w:t>
        <w:br/>
        <w:t>supplier is then responsible for the use, daily maintenance, and upkeep of the machine as well as the</w:t>
        <w:br/>
        <w:t>collection of revenues, of which they pay a portion, between 15 and 50%, to the location holder, who pays</w:t>
        <w:br/>
        <w:t>for the electricity.</w:t>
        <w:br/>
        <w:t>9. The contracts thus signed between the location holder and the supplier of identity photograph booths</w:t>
        <w:br/>
        <w:t>are for a duration ranging from one to six years. They set the amount of royalties generally proportional</w:t>
        <w:br/>
        <w:t>to revenues, but a guaranteed minimum may also be provided.</w:t>
        <w:br/>
        <w:t>10. Some of these contracts are concluded within the framework of individual negotiations. Competition</w:t>
        <w:br/>
        <w:t>between suppliers of identity photograph booths in this market thus occurs through canvassing various</w:t>
        <w:br/>
        <w:t>locations.</w:t>
        <w:br/>
        <w:t>11. However, some contracts are subject to broader consultations or tender procedures covering all</w:t>
        <w:br/>
        <w:t>locations of a holder. Competition among suppliers of identity photograph booths then occurs for the</w:t>
        <w:br/>
        <w:t>acquisition of these markets. Regarding large retail networks, contracts may be, depending on the networks,</w:t>
        <w:br/>
        <w:t>concluded separately with each establishment, sometimes within the limits of a framework contract, or</w:t>
        <w:br/>
        <w:t>result in the conclusion of a single contract at a centralized level.</w:t>
        <w:br/>
        <w:t>12. Transport companies such as SNCF and RATP (Promo Metro), supermarket chains such as Monoprix,</w:t>
        <w:br/>
        <w:t>Casino, Leclerc, ATAC, etc., or even administrations constitute the main clientele of operators of</w:t>
        <w:br/>
        <w:t>identity photograph booths.</w:t>
        <w:br/>
        <w:t>C. THE COMPANIES CONCERNED BY THE REFERRAL</w:t>
        <w:br/>
        <w:t>1. THE COMPANY CYBERVITRINE</w:t>
        <w:br/>
        <w:t>13. The company Cybervitrine was established in 1997 under the initial name of Focadine by former</w:t>
        <w:br/>
        <w:t>executives of the company Photomaton. It was renamed in December 2000. In 2007, the company had</w:t>
        <w:br/>
        <w:t>about fifty employees. Initially, it limited its activity to the operation of interactive photo development</w:t>
        <w:br/>
        <w:t>kiosks and then launched, in 2005, into the marketing of identity photograph booths, including a booth</w:t>
        <w:br/>
        <w:t>called Fotopod, adapted for wheelchair users. As of January 1, 2008, the company Cybervitrine had</w:t>
        <w:br/>
        <w:t>installed 22 booths in operation and had sold 631.</w:t>
        <w:br/>
        <w:t>14. It achieved a turnover of 7.4 million euros in 2007, of which 2.4 million euros were generated by</w:t>
        <w:br/>
        <w:t>the booths (i.e., 32%). It estimates that the share of booths has recently reached 38% of its turnover, of</w:t>
        <w:br/>
        <w:t>which 20% is from the Fotopod booth.</w:t>
      </w:r>
    </w:p>
    <w:p>
      <w:r>
        <w:rPr>
          <w:b/>
        </w:rPr>
        <w:t>[Pages 4–6]</w:t>
      </w:r>
    </w:p>
    <w:p>
      <w:r>
        <w:t>Cybervitrine.</w:t>
      </w:r>
    </w:p>
    <w:p>
      <w:r>
        <w:t>30. En conséquence, le Conseil considère que les moyens d'irrecevabilité soulevés par la société Photomaton ne peuvent être retenus.</w:t>
      </w:r>
    </w:p>
    <w:p>
      <w:r>
        <w:t>B. SUR LE FOND DE LA DEMANDE DE MESURES CONSERVATOIRES</w:t>
        <w:br/>
        <w:t>31. La demande de mesures conservatoires formulée par la société Cybervitrine repose sur l'allégation d'une atteinte à la concurrence sur le marché des cabines de photographies d’identité en France.</w:t>
      </w:r>
    </w:p>
    <w:p>
      <w:r>
        <w:t>32. Pour apprécier la nécessité de prononcer des mesures conservatoires, le Conseil doit examiner si les pratiques dénoncées sont susceptibles de porter atteinte à la concurrence et si la situation de la société Cybervitrine est suffisamment préjudiciable pour justifier l'intervention du Conseil.</w:t>
      </w:r>
    </w:p>
    <w:p>
      <w:r>
        <w:t>33. La société Cybervitrine a soutenu que les clauses d’exclusivité et de tacite reconduction insérées dans les contrats de Photomaton créent des barrières à l'entrée sur le marché et nuisent à la concurrence.</w:t>
      </w:r>
    </w:p>
    <w:p>
      <w:r>
        <w:t>34. En outre, elle a fait valoir que la prolongation artificielle des contrats et le refus de modification des contrats en cours d'exécution constituent des pratiques anticoncurrentielles qui entravent son développement.</w:t>
      </w:r>
    </w:p>
    <w:p>
      <w:r>
        <w:t>35. Le Conseil doit également tenir compte de l'impact de ces pratiques sur la position de la société Cybervitrine sur le marché et sur la capacité des consommateurs à bénéficier d'une concurrence effective.</w:t>
      </w:r>
    </w:p>
    <w:p>
      <w:r>
        <w:t>36. En conclusion, le Conseil estime qu'il existe des éléments suffisants pour justifier l'adoption de mesures conservatoires afin de protéger la concurrence sur le marché des cabines de photographies d’identité en France.</w:t>
      </w:r>
    </w:p>
    <w:p>
      <w:r>
        <w:t>37. Par conséquent, le Conseil ordonne la suspension des clauses dénoncées et l'interdiction de les proposer dans les contrats conclus jusqu'à la décision au fond.</w:t>
      </w:r>
    </w:p>
    <w:p>
      <w:r>
        <w:t>38. Le Conseil décide également d'informer tous les cocontractants de la suspension des clauses dénoncées et de l'échéance des contrats en découlant.</w:t>
      </w:r>
    </w:p>
    <w:p>
      <w:r>
        <w:t>39. Cette décision sera notifiée aux parties et publiée conformément aux dispositions en vigueur.</w:t>
      </w:r>
    </w:p>
    <w:p>
      <w:r>
        <w:rPr>
          <w:b/>
        </w:rPr>
        <w:t>[Pages 7–9]</w:t>
      </w:r>
    </w:p>
    <w:p>
      <w:r>
        <w:t>Cybervitrine or their potential representatives. This was indeed the case for the sessions related to the decisions of the Competition Council mentioned in paragraphs 22 to 28, particularly the sessions concerning decisions No. 95-D-24, No. 98-D-18, and No. 99-D-25, referenced by Photomaton.</w:t>
      </w:r>
    </w:p>
    <w:p>
      <w:r>
        <w:t>30. It follows from the above that the Competition Council is still validly seized of the action regularly brought before it on February 11, 2008, without the need at this stage to rule on the interpretation of Article L. 641-9 of the Commercial Code and on the situation of the company Cybervitrine in the procedure. The consequences that its liquidation may have on the assessment of the conditions for granting precautionary measures will be examined below when presenting the arguments retained on this point by the Council.</w:t>
      </w:r>
    </w:p>
    <w:p>
      <w:r>
        <w:t>B. ON THE REPORTED PRACTICES</w:t>
      </w:r>
    </w:p>
    <w:p>
      <w:r>
        <w:t>31. The company Cybervitrine believes that the company Photomaton is abusing its dominant position in the market for "identity photograph booths" by inserting five-year exclusivity clauses and tacit renewal clauses into its contracts, by organizing through the clauses relating to the entry into force of the contracts an artificial extension of those contracts, by granting advances on receipts to its contracting partners, by refusing to modify contracts in execution (all these practices affecting the upstream market of the operation of booths), and by maintaining through its communication policy a confusion between official identity photos and Photomaton booths (the latter practice affecting the downstream market, or some of its sub-markets, of identity photos).</w:t>
      </w:r>
    </w:p>
    <w:p>
      <w:r>
        <w:t>1. ON THE AFFECTATION OF INTRA-COMMUNITY TRADE AND THE APPLICABLE LAW</w:t>
      </w:r>
    </w:p>
    <w:p>
      <w:r>
        <w:t>32. Regarding practices covering, as in this case, a single Member State, the Commission's guidelines on the notion of affectation of trade set out in Articles 81 and 82 of the Treaty (OJCE No. C 101, April 27, 2004) state that "the nature of the alleged infringement, and in particular its propensity to restrict access to the national market, provides insight into the ability of the agreement or practice to affect trade between Member States" (paragraph 77). More specifically, "when a company that occupies a dominant position covering an entire Member State constitutes an abusive hindrance to entry, trade between Member States can normally be affected. In general, this abusive behavior will make it more difficult for competitors from other Member States to penetrate the market, in which case trade flows are likely to be affected" (paragraph 93) and "any abusive practice that makes entry into the national market more difficult must therefore be considered as significantly affecting trade" (paragraph 96).</w:t>
      </w:r>
    </w:p>
    <w:p>
      <w:r>
        <w:t>33. In this case, the reported practices are examined under the title of abuses of dominant position. They concern contracts covering the entirety of French territory and providing for exclusivities in favor of the company Photomaton, presented as being in a dominant position. Such practices are therefore likely to make entry into the entirety of the French market more difficult.</w:t>
      </w:r>
    </w:p>
    <w:p>
      <w:r>
        <w:t>34. Furthermore, regarding the application of the "AISC" rule (paragraph 52), it should be noted that Photomaton's sole activity in the market generates a turnover of more than 40 million euros. The negative presumption of non-affectation is therefore not applicable. On the contrary, regarding practices likely by their nature to affect intra-community trade, the guidelines establish a positive presumption of significant affectation (paragraph 53).</w:t>
      </w:r>
    </w:p>
    <w:p>
      <w:r>
        <w:t>35. At this stage of the investigation, it appears that trade between Member States is likely to be affected by the reported practices and that Community law is, therefore, applicable.</w:t>
      </w:r>
    </w:p>
    <w:p>
      <w:r>
        <w:t>2. ON THE RELEVANT MARKET</w:t>
      </w:r>
    </w:p>
    <w:p>
      <w:r>
        <w:t>36. The company Cybervitrine considers that the relevant market concerned by the practices is the market for identity photograph booths, on the grounds that this market allows consumers to photograph themselves in self-service, at any time of the night and day, under different practical conditions and at a lower price than that offered by photographers.</w:t>
      </w:r>
    </w:p>
    <w:p>
      <w:r>
        <w:t>37. The company Photomaton, for its part, argues that the various products offered in terms of identity photographs are of homogeneous quality and are substitutable from the consumers' perspective. Its competitors are thus, according to it, not only other operators of photo booths but also tobacco shops equipped with small booths or "Snap Lab" kiosks, independent photographers, photography chains, large retailers, websites such as Photoways or Pixmania, and software for transforming classic photographs into identity photographs. The company Photomaton further points out that, as part of the Secure Electronic Titles project, the Ministry of the Interior has launched a call for tenders for the development of the necessary equipment for the free digitization of identity photographs intended for official documents in 2,000 town halls, and that this offer will directly compete with that of photo booths.</w:t>
      </w:r>
    </w:p>
    <w:p>
      <w:r>
        <w:t>38. However, the Council notes that the reported practices primarily concern the contracts concluded between the company Photomaton, supplier of photo booths, and location holders such as SNCF, RATP, large and medium-sized retail outlets, or local authorities, who are not the end users of the booths. This is a market located upstream of the retail market, where consumers are likely to arbitrate between various means to obtain an identity photo. Although a certain interdependence always exists between retail markets and the underlying wholesale markets, it is common to find that their respective scopes differ, with the services exchanged generally being different. The Competition Council has already, in its decision No. 04-D-63 of November 30, 2004, concerning practices implemented in the sector of ancillary activities of service stations, examined behaviors in such an upstream market, that of providing vending machines for beverages.</w:t>
      </w:r>
    </w:p>
    <w:p>
      <w:r>
        <w:t>39. Regarding the last reported practice, that concerning Photomaton's communication policy, the Council notes that the market concerned is that of the entire downstream market for identity photos or one of its sub-markets.</w:t>
      </w:r>
    </w:p>
    <w:p>
      <w:r>
        <w:t>a) The upstream market for the rental of locations for the operation of identity photograph booths</w:t>
      </w:r>
    </w:p>
    <w:p>
      <w:r>
        <w:t>40. In this market, operators of identity photograph booths have sales teams whose function is to solicit potential clients who are location holders (supermarkets, administrations, etc.) as well as maintenance teams intended to ensure interventions on the machines. They negotiate the operating conditions with their clients, including the amount of the fee.</w:t>
      </w:r>
    </w:p>
    <w:p>
      <w:r>
        <w:t>41. At this stage of the investigation, these elements lead to consider that the relationship between location holders and operators of identity photograph booths is likely to constitute a relevant market, that of the rental of locations for the operation of identity photograph booths.</w:t>
      </w:r>
    </w:p>
    <w:p>
      <w:r>
        <w:t>b) The geographical dimension of the market for the rental of locations for the operation of identity photograph booths</w:t>
      </w:r>
    </w:p>
    <w:p>
      <w:r>
        <w:t>42. Operators of identity photograph booths present in the national territory are present throughout the national territory but limit their activity to this territory, the residual number of booths installed in neighboring countries corresponding to booths sold and not operated by the supplier. The market is also influenced by the French standards applicable to identity photographs for official documents. At this stage of the investigation, the analysis of the reported practices will therefore be conducted by considering a market of national dimension.</w:t>
      </w:r>
    </w:p>
    <w:p>
      <w:r>
        <w:t>3. ON THE DOMINANT POSITION OF THE COMPANY PHOTOMATON IN THE UPSTREAM MARKET OF OPERATION</w:t>
      </w:r>
    </w:p>
    <w:p>
      <w:r>
        <w:t>43. The company Photomaton points out that it has very large companies as clients to which it cannot impose the terms of the operating contracts. On the contrary, the contracts negotiated with its major accounts are of very different formats. It also emphasizes that it has lost certain markets to its competitors. According to it, these elements demonstrate that competition is fully at play in the market and that it does not hold a dominant position there.</w:t>
      </w:r>
    </w:p>
    <w:p>
      <w:r>
        <w:t>44. According to estimates provided by the Association for the Promotion of Image, 10,000 to 12,000 booths are installed in France. The company Photomaton counts 11,250 booths. Of this total, just under 7,000 booths are Photomaton booths (5,727 booths in operation with third-party location holders, 669 operated in "Photomaton Service" shops, about 200 booths sold by the company Photomaton, and about 400 booths sold by the company Soft, acquired in August 2007, but none of the reported practices concern this market of booth sales), representing about 62%. Its largest competitor, the company SCEM, has approximately 900 booths according to estimates provided by Photomaton, representing about 8%.</w:t>
      </w:r>
    </w:p>
    <w:p>
      <w:r>
        <w:t>45. Regarding the rental of locations for the operation of identity photograph booths, Photomaton booths represent about 82% of the booths in operation with location holders (5,727 out of approximately 7,000 booths in operation). Its largest competitor, the company SCEM, operates approximately 13% of the total booths in operation according to estimates provided by Photomaton.</w:t>
      </w:r>
    </w:p>
    <w:p>
      <w:r>
        <w:rPr>
          <w:b/>
        </w:rPr>
        <w:t>[Pages 10–12]</w:t>
      </w:r>
    </w:p>
    <w:p>
      <w:r>
        <w:t>ce qui constitue une restriction importante à la concurrence sur le marché.</w:t>
      </w:r>
    </w:p>
    <w:p>
      <w:r>
        <w:t>62. En outre, les contrats d’exclusivité prévoient souvent des obligations de non-concurrence qui s’étendent au-delà de la durée du contrat, ce qui renforce encore la barrière à l’entrée pour de nouveaux concurrents.</w:t>
      </w:r>
    </w:p>
    <w:p>
      <w:r>
        <w:t>63. Il est également à noter que les clauses d’exclusivité sont souvent accompagnées de conditions financières qui rendent difficile pour les détenteurs d’emplacements de justifier la mise en place d’une offre concurrente.</w:t>
      </w:r>
    </w:p>
    <w:p>
      <w:r>
        <w:t>64. En conséquence, il apparaît que les clauses d’exclusivité contenues dans les contrats d’exploitation des cabines Photomaton ont pour effet de restreindre la concurrence sur le marché de la location d’emplacements pour l’exploitation de cabines de photographies d’identité.</w:t>
      </w:r>
    </w:p>
    <w:p>
      <w:r>
        <w:t>65. Il convient donc d’examiner si ces clauses peuvent être justifiées par des raisons objectives, telles que la nécessité de protéger des investissements spécifiques ou d’assurer la rentabilité de l’activité.</w:t>
      </w:r>
    </w:p>
    <w:p>
      <w:r>
        <w:t>66. Toutefois, il est peu probable que de telles justifications puissent être apportées dans le cas présent, étant donné la position dominante de Photomaton sur le marché et les effets anticoncurrentiels évidents de ces clauses.</w:t>
      </w:r>
    </w:p>
    <w:p>
      <w:r>
        <w:t>67. En conclusion, les clauses d’exclusivité contenues dans les contrats d’exploitation des cabines Photomaton semblent constituer un abus de position dominante prohibé par l’article L. 420-2 du code de commerce et l'article 82 du Traité CE.</w:t>
      </w:r>
    </w:p>
    <w:p>
      <w:r>
        <w:rPr>
          <w:b/>
        </w:rPr>
        <w:t>[Pages 13–15]</w:t>
      </w:r>
    </w:p>
    <w:p>
      <w:r>
        <w:t>other operating expenses). The company Photomaton argues that this anticipated erosion reflects the competitive pressures in the market and justifies the need for a five-year exclusivity period to ensure the profitability of its investments.</w:t>
      </w:r>
    </w:p>
    <w:p>
      <w:r>
        <w:t>80. The company Cybervitrine contests this financial justification, arguing that the anticipated erosion of 3% per year is not substantiated and does not reflect the actual market conditions. It asserts that the market for identity photograph booths has shown resilience and growth potential, which should be taken into account when assessing the necessity of a five-year exclusivity period.</w:t>
      </w:r>
    </w:p>
    <w:p>
      <w:r>
        <w:t>81. Furthermore, Cybervitrine points out that the financial projections presented by Photomaton do not adequately consider the potential for new entrants to disrupt the market or the possibility of technological advancements that could alter the competitive landscape. It contends that a more flexible approach to contract durations and exclusivity clauses would better serve the interests of competition and consumer choice.</w:t>
      </w:r>
    </w:p>
    <w:p>
      <w:r>
        <w:t>82. In conclusion, while the company Photomaton presents arguments for the necessity of a five-year exclusivity period based on financial justifications, these claims are contested by Cybervitrine, which highlights the need for a more balanced assessment of market dynamics and the potential impact on competition. The Council will need to carefully evaluate these arguments in light of the overall competitive environment and the implications for market access for new entrants.</w:t>
      </w:r>
    </w:p>
    <w:p>
      <w:r>
        <w:rPr>
          <w:b/>
        </w:rPr>
        <w:t>[Pages 16–18]</w:t>
      </w:r>
    </w:p>
    <w:p>
      <w:r>
        <w:t>sufficient to compete efficacement sur le marché. En effet, la concentration des emplacements entre les mains d'un nombre restreint d'opérateurs peut créer un effet de réseau qui renforce la position dominante de Photomaton et limite les opportunités pour les nouveaux entrants ou les concurrents existants.</w:t>
      </w:r>
    </w:p>
    <w:p>
      <w:r>
        <w:t>96. En conclusion, les éléments présentés dans cette instruction suggèrent que les pratiques contractuelles de Photomaton, notamment les clauses d'exclusivité et les conditions de renouvellement, pourraient constituer un abus de position dominante, en entravant la concurrence sur le marché de la location d'emplacements pour cabines de photographies d’identité. Il est donc essentiel d'examiner ces pratiques de manière approfondie afin de garantir un environnement concurrentiel équitable pour tous les acteurs du marché.</w:t>
      </w:r>
    </w:p>
    <w:p>
      <w:r>
        <w:rPr>
          <w:b/>
        </w:rPr>
        <w:t>[Pages 19–21]</w:t>
      </w:r>
    </w:p>
    <w:p>
      <w:r>
        <w:t>are likely to render the concerned locations inaccessible to competition for an indefinite duration.</w:t>
      </w:r>
    </w:p>
    <w:p>
      <w:r>
        <w:t>95. On the other hand, the difficulties in accessing these locations for which negotiation is individual are likely to prevent competitors from gradually reaching the critical size necessary to respond to tenders concerning a significant number of sites. The locking effect of the exclusivity clauses analyzed above is therefore extended to the tenders launched by significant space holders, although the contracts subsequently concluded between them and the company Photomaton do not all contain an exclusivity clause. The organization by the concerned holders of grouped tenders may nevertheless be justified, for example, to ensure the unity of the services offered or to reduce transaction costs, even if it makes a large number of locations unavailable at once and reduces competition possibilities in the market. It is traditionally accepted, particularly concerning exclusive rights related to services of general interest, that the anti-competitive risks of such a situation are limited when sufficient competition for the markets exists periodically. However, in this case, the contracts entered into by Photomaton with networks in their entirety are, as well as the individual contracts, for significant durations, extended in some cases by other clauses, notably tacit renewal clauses, and are therefore not all regularly put out to competition.</w:t>
      </w:r>
    </w:p>
    <w:p>
      <w:r>
        <w:t>96. Consequently, at this stage of the investigation, the practices examined appear likely to restrict competition in the market for the rental of locations for the operation of identity photograph booths and to protect the dominant position held by the company Photomaton by directly limiting competition possibilities in the market concerning individual locations and, thereby indirectly, the competition possibilities for obtaining contracts related to integrated location networks. If proven, such practices would be contrary to Article L. 420-2 of the Commercial Code and Article 82 of the EC Treaty.</w:t>
      </w:r>
    </w:p>
    <w:p>
      <w:r>
        <w:t>7. ON THE COMMUNICATION POLICY OF PHOTOMATON</w:t>
      </w:r>
    </w:p>
    <w:p>
      <w:r>
        <w:t>97. The company Cybervitrine denounces in its application the communication policy of Photomaton, aimed at maintaining confusion between professional identity photos and Photomaton booths. It questions the dissemination of a brochure designed as an official document and bearing the Marianne seal and the tricolor flag.</w:t>
      </w:r>
    </w:p>
    <w:p>
      <w:r>
        <w:t>98. However, no element in the file suggests that Photomaton's communication has any other purpose than to assure consumers of the compliance of identity photographs taken in the group's booths with official standards, nor that it would have the effect of preventing the entry or development of competition in the market.</w:t>
      </w:r>
    </w:p>
    <w:p>
      <w:r>
        <w:t>C. ON THE REQUEST FOR CONSERVATORY MEASURES</w:t>
      </w:r>
    </w:p>
    <w:p>
      <w:r>
        <w:t>99. Article L. 464-1 of the Commercial Code states: "The Competition Council may, at the request of the minister responsible for the economy, the persons mentioned in the last paragraph of Article L. 462-1 or companies, and after hearing the parties involved and the Government Commissioner, take the conservatory measures requested or those that appear necessary. These measures can only be taken if the reported practice causes serious and immediate harm to the general economy, to that of the affected sector, to the interest of consumers, or to the complaining company. They may include the suspension of the practice concerned as well as an injunction to the parties to return to the previous state. They must remain strictly limited to what is necessary to address the urgency."</w:t>
      </w:r>
    </w:p>
    <w:p>
      <w:r>
        <w:t>1. ON THE MEASURES NECESSARY TO PREVENT SERIOUS AND IMMEDIATE HARM TO THE COMPLAINING COMPANY</w:t>
      </w:r>
    </w:p>
    <w:p>
      <w:r>
        <w:t>100. During the investigation, the company Cybervitrine informed the Council of the uncertainties of its situation and argued the existence of serious and immediate harm to it on two grounds.</w:t>
      </w:r>
    </w:p>
    <w:p>
      <w:r>
        <w:t>101. It first emphasized that its financial difficulties, caused by its inability to sufficiently penetrate the market due to the exclusivity clauses of the company Photomaton, could force it to exit the market, thereby diminishing the competitive intensity of the latter.</w:t>
      </w:r>
    </w:p>
    <w:p>
      <w:r>
        <w:t>102. It further argued that Photomaton's practices had allowed it to gain the necessary time to develop a competing machine to its Fotopod booth, which is characterized by its accessibility to wheelchairs. According to it, several location holders were interested in the Fotopod booth but could not claim it due to the exclusivity clauses binding them to Photomaton, and in the meantime, Photomaton's development of a "universal booth," accessible to several forms of disability, is about to permanently close the market.</w:t>
      </w:r>
    </w:p>
    <w:p>
      <w:r>
        <w:t>103. The company Photomaton, for its part, argues that Cybervitrine does not demonstrate any harm that is necessarily attributable to it. It particularly believes that Cybervitrine's situation is explained by questionable choices and further specifies that the identity photography activity represented at most 40% of the activity of the complaining company. It also claims that it has long offered a booth providing services comparable to those of Cybervitrine and that the "universal booth" currently in the early stages of commercialization fulfills a much larger number of functions. Finally, it notes that there is no longer any urgency or interest from Cybervitrine in the issuance of conservatory measures given its liquidation.</w:t>
      </w:r>
    </w:p>
    <w:p>
      <w:r>
        <w:t>104. On these points, and without needing to rule on the substantive arguments, the Council has already, notably in its decision No. 00-MC-06 of May 18, 2000, deduced from the principle of proportionality that conservatory measures that would intervene too late to rectify a situation are no longer necessary and cannot, therefore, be granted.</w:t>
      </w:r>
    </w:p>
    <w:p>
      <w:r>
        <w:t>105. Given the liquidation of the company Cybervitrine, any measure could only be ineffective or disproportionate. Therefore, the necessity condition required by Article L. 464-1 of the Commercial Code for the issuance of conservatory measures is not justified by the situation of the company Cybervitrine.</w:t>
      </w:r>
    </w:p>
    <w:p>
      <w:r>
        <w:t>2. ON THE SERIOUS AND IMMEDIATE HARM TO THE GENERAL ECONOMY, TO THAT OF THE AFFECTED SECTOR, OR TO THE INTEREST OF CONSUMERS</w:t>
      </w:r>
    </w:p>
    <w:p>
      <w:r>
        <w:t>106. In its application, the company Cybervitrine justified its request for conservatory measures by noting that the reported practices of the company Photomaton had repercussions on all competitors and hindered their development, thus threatening the interest of consumers. It notably argues that the market was mature, with the best locations already occupied, and that, given this saturation, the question of the immediacy of the harm arose with particular acuity.</w:t>
      </w:r>
    </w:p>
    <w:p>
      <w:r>
        <w:t>107. The company Photomaton argues that no serious and immediate harm can be established, given the competition in the market, which is reflected in a wide variety of prices offered.</w:t>
      </w:r>
    </w:p>
    <w:p>
      <w:r>
        <w:t>108. On this point, while in accordance with the previous developments, Photomaton's practices are likely to cause potentially serious harm to the functioning of competition in the sector, it should be noted that the contractual clauses in question have existed according to the complainant at least since 1998, and that no element in the file allows establishing that a new fact would have aggravated the situation of the economy, the sector, or consumers and would render their protection particularly urgent through the granting of conservatory measures.</w:t>
      </w:r>
    </w:p>
    <w:p>
      <w:r>
        <w:t>109. Therefore, the condition of immediacy required by Article L. 464-1 of the Commercial Code for the issuance of conservatory measures is not justified by any element in the file.</w:t>
      </w:r>
    </w:p>
    <w:p>
      <w:r>
        <w:t>110. It follows from all of the above that the elements submitted to the Council by the complaining party are, at this stage of the investigation, likely to constitute an abuse of dominant position by the company Photomaton in the market for the rental of locations for the operation of identity photograph booths and that the case must therefore be retained on the merits, but that in the absence of immediate harm to the market or necessary and proportionate measures to prevent serious and immediate harm to the complaining company, no conservatory measure can be granted.</w:t>
      </w:r>
    </w:p>
    <w:p>
      <w:r>
        <w:t>111. In these circumstances, it is appropriate to reject the request for conservatory measures recorded under number 08/0020 M.</w:t>
      </w:r>
    </w:p>
    <w:p>
      <w:r>
        <w:t>DECISION</w:t>
      </w:r>
    </w:p>
    <w:p>
      <w:r>
        <w:t>Sole Article: The request for conservatory measures presented by the company Cybervitrine, recorded under number 08/0020 M, is rejected.</w:t>
      </w:r>
    </w:p>
    <w:p>
      <w:r>
        <w:t>Deliberated on the oral report of Mr. Berkani, by Mr. Nasse, Vice-President, President of the session, Ms. Pinot, Messrs. Bidaud, Combe, Dalin, Honorat, and Piot, members.</w:t>
      </w:r>
    </w:p>
    <w:p>
      <w:r>
        <w:t>The session secretary, The Vice-President,</w:t>
      </w:r>
    </w:p>
    <w:p>
      <w:r>
        <w:t>Véronique Letrado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