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https://www.autoritedelaconcurrence.fr/fr/decision/relative-une-demande-de-mesures-conservatoires-presentee-par-la-societe-dentreprise-de</w:t>
      </w:r>
    </w:p>
    <w:p>
      <w:r>
        <w:t>Pages translated : 2</w:t>
      </w:r>
    </w:p>
    <w:p/>
    <w:p>
      <w:r>
        <w:rPr>
          <w:b/>
        </w:rPr>
        <w:t>[Pages 1–2]</w:t>
      </w:r>
    </w:p>
    <w:p>
      <w:r>
        <w:t xml:space="preserve">FRENCH REPUBLIC  </w:t>
        <w:br/>
        <w:t xml:space="preserve">Decision No. 92-MC-01 of January 7, 1992  </w:t>
        <w:br/>
        <w:t xml:space="preserve">concerning a request for interim measures submitted  </w:t>
        <w:br/>
        <w:t xml:space="preserve">by the Société d'entreprise de parfumeries Liza  </w:t>
        <w:br/>
        <w:t xml:space="preserve">The Competition Council,  </w:t>
        <w:br/>
        <w:t xml:space="preserve">Having regard to the letters registered on November 28 and December 17, 1991 under number M 90, by which the Société d'entreprise de parfumeries (S.E.P.) Liza referred to the Competition Council a request for interim measures against the companies S.A.F. des montres Rolex and montres Rolex S.A. Geneva;  </w:t>
        <w:br/>
        <w:t xml:space="preserve">Having regard to Article 85 of the Treaty of Rome of March 25, 1957, and Regulation No. 17-62 of February 6, 1962 of the Council of the European Economic Community, as amended, adopted for its application;  </w:t>
        <w:br/>
        <w:t xml:space="preserve">Having regard to Ordinance No. 86-1243 of December 1, 1986, relating to the freedom of prices and competition, as amended, together with Decree No. 86-1309 of December 29, 1986, as amended, adopted for its application;  </w:t>
        <w:br/>
        <w:t xml:space="preserve">Having regard to the observations presented by S.A.F. des montres Rolex;  </w:t>
        <w:br/>
        <w:t xml:space="preserve">Having regard to the observations presented by the Government Commissioner;  </w:t>
        <w:br/>
        <w:t xml:space="preserve">Having regard to the other documents in the file;  </w:t>
        <w:br/>
        <w:t xml:space="preserve">The rapporteur, the general rapporteur, the Government Commissioner, and the parties heard;  </w:t>
        <w:br/>
        <w:t xml:space="preserve">Considering that S.E.P. Liza, operator of a duty-free retail store for luxury goods, including watches, has referred to the Competition Council the commercial practices of one of its suppliers, S.A.F. des montres Rolex, and its parent company, the company montres Rolex S.A. Geneva, which it considers anti-competitive;  </w:t>
        <w:br/>
        <w:t>Considering that S.E.P. Liza denounces the Rolex distribution agreements as being contrary to Article 85-1 of the Treaty of Rome and to Articles 7 and 8 of the ordinance of December 1, 1986, and in particular clauses III (1 d) and III (2), the first requiring the authorized distributor to have a workshop with staff trained as specialist watchmakers, the second allowing the Rolex company to carry out the final selection of establishments taking into account the local sales possibilities of Rolex products; that S.E.P. Liza also argues, based on several bailiff reports, that S.A.F. des montres Rolex applies these distribution agreements in a discriminatory manner;</w:t>
      </w:r>
    </w:p>
    <w:p>
      <w:r>
        <w:t xml:space="preserve">Considering that S.E.P. Liza claims that Rolex's behavior causes it serious harm and has resulted in a loss of revenue of 1,770 MF for the year 1990; that it requests the Competition Council to take interim measures based on Article 12 of the ordinance of December 1, 1986;  </w:t>
        <w:br/>
        <w:t xml:space="preserve">Considering that the Commission of the European Communities has also been seized regarding the Rolex distribution agreements, on the one hand, by the company Rolex S.A. Geneva which submitted to it, in 1977, a request for a negative certificate and, on the other hand, by S.E.P. Liza which, in November 1991, referred the practices of the companies S.A.F. des montres Rolex and montres Rolex S.A. Geneva which it considered contrary to Article 85 of the Treaty of Rome; that the Commission of the European Communities did not issue a negative certificate and that it does not appear from the documents in the file that it initiated proceedings following the referral by S.E.P. Liza; that, therefore, these proceedings do not prevent the Council from examining the request for interim measures;  </w:t>
        <w:br/>
        <w:t xml:space="preserve">Considering that, at the current stage of the procedure and subject to the instruction of the case on the merits, it cannot be excluded that the distribution agreements and the commercial practices of the Rolex companies referred to by the company Liza may fall within the scope of Article 7 of the ordinance of December 1, 1986, as well as Article 85 of the Treaty of Rome;  </w:t>
        <w:br/>
        <w:t xml:space="preserve">But considering that, although S.E.P. Liza recorded a decrease in its duty-free turnover during the 1990 financial year, it is not established that this decrease is exclusively or even primarily due to the practices of the Rolex companies; that, moreover, the operating result of S.E.P. Liza for the 1990 financial year is positive; that under these conditions, it is not established that the commercial practices denounced cause S.E.P. Liza serious and immediate harm requiring the adoption of emergency measures,  </w:t>
        <w:br/>
        <w:t xml:space="preserve">Decides:  </w:t>
        <w:br/>
        <w:t xml:space="preserve">The request for interim measures registered under number M 90 is rejected.  </w:t>
        <w:br/>
        <w:t xml:space="preserve">Deliberated in section, on the oral report of Ms. Anne Lepetit, in its session of January 7, 1992, where were present:  </w:t>
        <w:br/>
        <w:t xml:space="preserve">Mr. Béteille, Vice-President;  </w:t>
        <w:br/>
        <w:t xml:space="preserve">Messrs. Bon, Fries, Mesdames Hagelsteen and Lorenceau;  </w:t>
        <w:br/>
        <w:t xml:space="preserve">Mr. Schmidt, members.  </w:t>
        <w:br/>
        <w:t xml:space="preserve">The general rapporteur, The Vice-President, presiding over the session,  </w:t>
        <w:br/>
        <w:t xml:space="preserve">F. Jenny R. Béteille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