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https://www.autoritedelaconcurrence.fr/fr/decision/relative-une-demande-de-mesures-conservatoires-presentee-par-la-societe-europe-aero</w:t>
      </w:r>
    </w:p>
    <w:p>
      <w:r>
        <w:t>Pages translated : 2</w:t>
      </w:r>
    </w:p>
    <w:p/>
    <w:p>
      <w:r>
        <w:rPr>
          <w:b/>
        </w:rPr>
        <w:t>[Pages 1–2]</w:t>
      </w:r>
    </w:p>
    <w:p>
      <w:r>
        <w:t xml:space="preserve">FRENCH REPUBLIC  </w:t>
        <w:br/>
        <w:t xml:space="preserve">Decision No. 91-MC-04 of October 9, 1991  </w:t>
        <w:br/>
        <w:t xml:space="preserve">concerning a request for interim measures submitted  </w:t>
        <w:br/>
        <w:t xml:space="preserve">by the company Europe Aero Service  </w:t>
        <w:br/>
        <w:t xml:space="preserve">The Competition Council,  </w:t>
        <w:br/>
        <w:t xml:space="preserve">Having regard to the letter registered on September 23, 1991, under number M 86, by which the company Europe Aero Service, a public limited company represented by its chairman and chief executive officer, submitted to the Competition Council a request for interim measures against the company Air Charter, the Higher Council of Merchant Aviation, and the Minister responsible for transport;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observations submitted for the companies Air Charter and Compagnie nationale Air France;  </w:t>
        <w:br/>
        <w:t xml:space="preserve">Having regard to the observations submitted by the Government Commissioner;  </w:t>
        <w:br/>
        <w:t xml:space="preserve">Having regard to the other documents in the file;  </w:t>
        <w:br/>
        <w:t xml:space="preserve">The rapporteur, the general rapporteur, the Government Commissioner, and the parties heard;  </w:t>
        <w:br/>
        <w:t xml:space="preserve">Considering that the company Europe Aero Service, which notably engages in air transport activities through scheduled flights and on-demand flights, is linked to the company Air Charter, which is part of the Air France group, by contracts relating to the provision of aircraft with their crew by the former to the latter, for use in on-demand flights; that the company Europe Aero Service claims that it is experiencing a significant decline in its activity, jeopardizing the existence of its business, due to actions by the company Air Charter aimed notably at preventing it from marketing its own on-demand flights and from sufficiently utilizing the flight capacities of the aircraft covered by the contracts; that, according to the applicant company, these practices constitute an abuse of the state of economic dependence in which it finds itself in relation to the company Air Charter, as well as of the dominant position of the Air France group;  </w:t>
        <w:br/>
        <w:t xml:space="preserve">Considering that the judgment of May 17, 1991, by which the Commercial Court of Perpignan opened a judicial recovery procedure for the benefit of the public limited company Europe Aero Service, and appointed, in application of the provisions of 2° of Article 31 of the law of January 25, 1985, an administrator tasked with assisting the debtor for all acts concerning the management of its business, does not have the effect of depriving the chairman and chief executive officer of his capacity to independently bring the matter before the Competition Council on behalf of the company;  </w:t>
        <w:br/>
        <w:t xml:space="preserve">Considering that, although the request for interim measures is not expressly directed against Compagnie nationale Air France, it is nonetheless mentioned in the contracts for which the company Europe Aero Service requests enforcement; that, therefore, at this stage of the procedure, there is no reason to exclude Air France from the case;  </w:t>
        <w:br/>
        <w:t xml:space="preserve">Considering that, although, based on the current file, the existence of practices prohibited by the provisions of Article 8 of the Ordinance of December 1, 1986, is not established, it cannot be excluded and will therefore be subject to further investigation of the case on its merits;  </w:t>
        <w:br/>
        <w:t xml:space="preserve">Considering, firstly, that the Commercial Court of Créteil is currently seized with the question of whether the company Air Charter has properly fulfilled the contractual obligations binding it to the company Europe Aero Service; that, based on the current file, the existence of a breach of these obligations cannot be regarded as established; that consequently, the Competition Council cannot, in application of the provisions of Article 12 of the Ordinance of December 1, 1986, grant the request of the company Europe Aero Service to compel the company Air Charter to comply with its contractual commitments and to inform the Directorate General of Civil Aviation and the Higher Council of Merchant Aviation;  </w:t>
        <w:br/>
        <w:t xml:space="preserve">Considering, secondly, that, although the company Europe Aero Service additionally requests the Competition Council to "ask the Higher Council of Merchant Aviation and Mr. the Minister of Transport for the extension of the authorizations" of which it is the holder for the exercise of its air transport activity, such intervention is not among the measures that the Competition Council has the authority to take under the aforementioned provisions of Article 12 of the Ordinance;  </w:t>
        <w:br/>
        <w:t xml:space="preserve">Considering finally that the request presented in session and aimed at the implementation of the action mentioned in the penultimate paragraph of Article 36 of the aforementioned Ordinance of December 1, 1986, is in any case not of the nature of those that can be formulated under interim measures,  </w:t>
        <w:br/>
        <w:t xml:space="preserve">Decides:  </w:t>
        <w:br/>
        <w:t xml:space="preserve">Sole Article. - The request for interim measures registered under number M 86 is rejected.  </w:t>
        <w:br/>
        <w:t xml:space="preserve">Deliberated in permanent commission on the oral report of Ms. Anne-Françoise Roul, in its session of October 9, 1991, where were present:  </w:t>
        <w:br/>
        <w:t xml:space="preserve">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