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https://www.autoritedelaconcurrence.fr/fr/decision/relative-une-demande-de-mesures-conservatoires-presentee-par-la-societe-new-charmes</w:t>
      </w:r>
    </w:p>
    <w:p>
      <w:r>
        <w:t>Pages translated : 4</w:t>
      </w:r>
    </w:p>
    <w:p/>
    <w:p>
      <w:r>
        <w:rPr>
          <w:b/>
        </w:rPr>
        <w:t>[Pages 1–3]</w:t>
      </w:r>
    </w:p>
    <w:p>
      <w:r>
        <w:t xml:space="preserve">COMPETITION COUNCIL  </w:t>
        <w:br/>
        <w:t xml:space="preserve">Decision No. 99-D-54 of September 29, 1999  </w:t>
        <w:br/>
        <w:t xml:space="preserve">regarding a request for interim measures submitted by New Charmes company  </w:t>
        <w:br/>
        <w:t xml:space="preserve">The Competition Council (Section II),  </w:t>
        <w:br/>
        <w:t xml:space="preserve">Having regard to the letter registered on July 9, 1999 under numbers F 1155 and M 241 by which New Charmes company referred to the Competition Council practices implemented by Silhouette International Schmied &amp; Co.Kg in the eyeglass frame distribution sector that it considers anti-competitive and requested the issuance of interim measures;  </w:t>
        <w:br/>
        <w:t xml:space="preserve">Having regard to Ordinance No. 86-1243 of December 1, 1986 as amended, relating to price freedom and competition and Decree No. 86-1309 of December 29, 1986 as amended, taken for its application;  </w:t>
        <w:br/>
        <w:t xml:space="preserve">Having regard to the observations presented by New Charmes company, by Silhouette International company, and by the Government Commissioner;  </w:t>
        <w:br/>
        <w:t xml:space="preserve">Having regard to the other documents in the file;  </w:t>
        <w:br/>
        <w:t xml:space="preserve">The rapporteur, the general rapporteur, the Government Commissioner, and the representatives of New Charmes and Silhouette International heard;  </w:t>
        <w:br/>
        <w:t xml:space="preserve">After deliberating in the absence of the rapporteur and the general rapporteur;  </w:t>
        <w:br/>
        <w:t xml:space="preserve">Considering that New Charmes company engages in the import and wholesale distribution of high-end eyeglass frames manufactured by Silhouette International, based in Linz, Austria; that, by a contract concluded on March 15, 1975 effective from January 1, 1975, New Charmes became the exclusive distributor in France for Silhouette International; that during a trade fair held on October 24, 1998 at Silmo in Austria, Silhouette informed New Charmes of its decision to establish a new distribution contract with a view to modifying its distribution system on national territory; that, due to the persistent disagreement on several clauses of the draft contract, Silhouette, by letter dated June 18, 1999, informed New Charmes of its decision to terminate their partnership, effective December 31, 1999;  </w:t>
        <w:br/>
        <w:t xml:space="preserve">Considering that New Charmes argues that it is in a state of economic dependence with respect to its manufacturer; that this fact would be established by the long-standing relationship between the two partners, by the circumstance that its turnover results entirely from the sale of eyeglass frames manufactured by Silhouette International, and by the absence of an equivalent or alternative solution allowing New Charmes to undertake a conversion of its activities;  </w:t>
        <w:br/>
        <w:t xml:space="preserve">Considering that New Charmes contends, on the one hand, that the destabilizing maneuvers by Silhouette "constitute an abuse of economic dependence" and that "these behaviors are all the more reprehensible as they tend to impose constraints on a partner that are incompatible with conducting business under competitive conditions"; and, on the other hand, that the draft contract contains provisions that are "infringements on the exclusivity domain that disrupt the business model of New Charmes company," preventing it from "conducting competitive activities" and that "constitute an abuse of a situation of economic dependence within the meaning of Article 8.2 of the Ordinance of December 1, 1986"; that New Charmes requests that the Council order, as interim measures, the maintenance of the previous contractual relations;  </w:t>
        <w:br/>
        <w:t xml:space="preserve">Considering that the Austrian law company Silhouette International, challenged by New Charmes, the author of the referral, argues that under Article 6.3 of the European Convention for the Protection of Human Rights and Fundamental Freedoms: "Everyone charged with a criminal offense has the right to be informed promptly, in a language which he understands and in detail, of the nature and cause of the accusation against him"; that it asserts that "the sending of a summons in only the French language to an Austrian company cannot be considered as a proper notification"; that the method of sending the letter of summons addressed to it on August 1, 1999, by registered letter with acknowledgment of receipt, does not comply with the forms provided by Articles 684 and following of the new Code of Civil Procedure relating to the specific rules for international notifications;  </w:t>
        <w:br/>
        <w:t xml:space="preserve">But considering that before examining the request for interim measures, it is incumbent upon the Council to rule on the admissibility of the referral; that under the provisions of Article 19 of Ordinance No. 86-1243 of December 1, 1986 as amended, "The Competition Council may declare, by reasoned decision, the referral inadmissible if it considers that the facts invoked do not fall within its jurisdiction or are not supported by sufficiently probative elements"; that neither these provisions nor any others concerning their implementation provide that the person or persons likely to be concerned by the practices denounced be heard by the Council during the examination of the admissibility of the referral; that moreover, it is established that the rights of defense of Silhouette company have not been disregarded since this latter company was represented at the hearing and produced an extensive defense in French; that, therefore, the irregularities of the notification and summons procedure invoked by Silhouette International, assuming they are established, cannot be held against it at the stage of examining the admissibility of the referral;  </w:t>
        <w:br/>
        <w:t xml:space="preserve">Considering that under the second paragraph of Article 8 of the Ordinance of December 1, 1986, the exploitation "of the state of economic dependence in which a client or supplier company finds itself, which does not have an equivalent solution," is prohibited;  </w:t>
        <w:br/>
        <w:t xml:space="preserve">Considering, first, that since the early 1990s, the offer of eyeglass frames has been characterized by the arrival of multi-product brands with strong notoriety such as, for example, the brands Yves Saint-Laurent, Hugo Boss, Cartier, Boucheron, Christian Lacroix, Cerruti, Lacoste; that at the same time, the emergence of large purchasing centers, distribution chains, or franchises has modified the traditional distribution channels previously largely occupied by independent resellers; that thus, more than five hundred brands of eyeglass frames in various price and quality ranges are offered to consumers on the national territory through these different distribution networks; that the share held by the eyeglass frames of Silhouette International in 1998 on French territory, evaluated based on the volume of eyeglass frame sales made by New Charmes, which held the exclusive distribution of these eyeglass frames, was 0.5% compared to the total number of eyeglass frames sold across all categories, or 6% compared to the sales volume of "high-end" eyeglass frames, a category in which the models manufactured by Silhouette International are situated; that it is not contested by the parties that the sales of Silhouette brand eyeglass frames have experienced a significant decline of about 30% in the French market since 1992 (65,924 frames sold in 1997 compared to 94,377 frames sold in 1992); that due to this decline, Silhouette International has manufactured and marketed under license the brands Adidas in 1994 and Daniel Swarovski in 1997;  </w:t>
        <w:br/>
        <w:t xml:space="preserve">Considering, secondly, that contrary to the assertions of New Charmes, the exclusivity provided for in Article XII of the contract concluded between the two partners in 1975 does not prohibit the distributor from selling eyeglass frames belonging to the same category as that of the Silhouette brand, nor from selling frames of a lower range; that, although the distribution contract binding New Charmes and Silhouette International provides that the distributor of Silhouette International brand eyeglass frames must inform its supplier of its desire to market another brand and obtain its consent, it is neither alleged nor established by New Charmes that its supplier would have refused it the possibility of distributing other brands;  </w:t>
        <w:br/>
        <w:t xml:space="preserve">Considering, thirdly, that the elements of the file do not demonstrate that the distribution of eyeglass frames, regardless of the category to which these products belong, requires such specificity that it would compel an importer to specialize in the sale of a single range of eyeglass frames to a single distribution channel, in this case that of opticians;  </w:t>
        <w:br/>
        <w:t xml:space="preserve">Considering, fourthly, that New Charmes invokes the "viscosity" of the distribution of eyeglass frames which makes it difficult for a distributor to access brands already distributed elsewhere; that, however, when questioned at the hearing, it acknowledged that it was not in a total impossibility to find other brands; that it alleged that the main obstacle to continuing its wholesale activity in eyeglass frames would be due to the lack of time necessary to search for new suppliers; that Silhouette International points out in its writings that New Charmes had the opportunity to market Oakley brand sunglasses from 1988 to 1992; that thus, the exclusive share of Silhouette International products in New Charmes' turnover results from a strategic choice of the distributor; that moreover, the Silhouette brand does not possess such notoriety in France that the presence of frames of this brand is indispensable among distributors;  </w:t>
        <w:br/>
        <w:t>Considering that in any case, assuming that New Charmes is in a state of economic dependence and that Silhouette International has abused this state of economic dependence, New Charmes neither alleges nor establishes that, in the context of a market characterized by an abundant and diversified offer on which its supplier holds a market share that does not exceed 6%, the</w:t>
      </w:r>
    </w:p>
    <w:p>
      <w:r>
        <w:rPr>
          <w:b/>
        </w:rPr>
        <w:t>[Pages 4–4]</w:t>
      </w:r>
    </w:p>
    <w:p>
      <w:r>
        <w:t xml:space="preserve">the practices denounced would have had the object or effect of limiting the supply capacities or restricting competition in the market; thus, the practices submitted to the Council fall within a commercial dispute which does not fall within the scope of Title III of the ordinance of December 1, 1986.  </w:t>
        <w:br/>
        <w:t xml:space="preserve">Considering that it follows from the above that the substantive referral is inadmissible and that, consequently, and without the need to rule on the procedural grounds raised in defense by Silhouette International, the request for interim measures must be rejected,  </w:t>
        <w:br/>
        <w:t xml:space="preserve">DECIDES:  </w:t>
        <w:br/>
        <w:t xml:space="preserve">Article 1: the referral registered under number F 1155 is declared inadmissible.  </w:t>
        <w:br/>
        <w:t xml:space="preserve">Article 2: the request for interim measures registered under number M 241 is rejected.  </w:t>
        <w:br/>
        <w:t xml:space="preserve">Deliberated, on the oral report of Ms. Bergaentzlé, by Mr. Jenny, Vice-President, presiding over the session, Ms. Boutard-Labarde and Ms. Flüry-Herard, Mr. Bargue, Mr. Lasserre, Mr. Nasse, and Mr. Robin, members.  </w:t>
        <w:br/>
        <w:t xml:space="preserve">The session secretary, The Vice-President, presiding over the session  </w:t>
        <w:br/>
        <w:t xml:space="preserve">Sylvie Grando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