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https://www.autoritedelaconcurrence.fr/fr/decision/relative-une-demande-de-mesures-conservatoires-presentee-par-la-societe-nouvelle-de</w:t>
      </w:r>
    </w:p>
    <w:p>
      <w:r>
        <w:t>Pages translated : 2</w:t>
      </w:r>
    </w:p>
    <w:p/>
    <w:p>
      <w:r>
        <w:rPr>
          <w:b/>
        </w:rPr>
        <w:t>[Pages 1–2]</w:t>
      </w:r>
    </w:p>
    <w:p>
      <w:r>
        <w:t xml:space="preserve">FRENCH REPUBLIC  </w:t>
        <w:br/>
        <w:t xml:space="preserve">Decision No. 96-MC-05 of June 11, 1996  </w:t>
        <w:br/>
        <w:t>concerning a request for interim measures submitted by Société Nouvelle de Mécanique et d’Outillage (SNMO)</w:t>
      </w:r>
    </w:p>
    <w:p>
      <w:r>
        <w:t>The Competition Council (permanent commission),</w:t>
      </w:r>
    </w:p>
    <w:p>
      <w:r>
        <w:t>Having regard to the letter registered on April 15, 1996, under numbers F 864 and M 182, by which Société Nouvelle de Mécanique et d’Outillage (SNMO) referred to the Competition Council a request against the practices of EDF and Société d’Industrie Générale et d’Equipement Divers (SIGED) and sought the issuance of interim measures;</w:t>
      </w:r>
    </w:p>
    <w:p>
      <w:r>
        <w:t>Having regard to Ordinance No. 86-1243 of December 1, 1986, as amended, concerning the freedom of prices and competition, and Decree No. 86-1309 of December 29, 1986, as amended, adopted for its application;</w:t>
      </w:r>
    </w:p>
    <w:p>
      <w:r>
        <w:t>Having regard to the observations presented by EDF, the companies SNMO, SIGED, and the Government Commissioner;</w:t>
      </w:r>
    </w:p>
    <w:p>
      <w:r>
        <w:t>Having regard to the other documents in the file;</w:t>
      </w:r>
    </w:p>
    <w:p>
      <w:r>
        <w:t>The rapporteur, the general rapporteur, the Government Commissioner, and the representatives of EDF, the companies SNMO and SIGED heard;</w:t>
      </w:r>
    </w:p>
    <w:p>
      <w:r>
        <w:t>Considering that the company SNMO, a business specialized in the manufacture of stainless steel containers intended for the transport of materials contaminated by nuclear radioactivity, has referred to the Competition Council the practices of the public establishment EDF and one of its suppliers, the company SIGED, which it considers anti-competitive; that it claims that these two companies have organized an agreement aimed at excluding it from the market for the transport of superficially contaminated materials and that these practices have been made possible due to EDF's dominant position in the market for the production of electricity from nuclear sources;</w:t>
      </w:r>
    </w:p>
    <w:p>
      <w:r>
        <w:t>Considering that the company SNMO argues that EDF intervened with the Ministry of Equipment and Transport and obtained by order of July 1, 1993, an eighteen-month postponement of the entry into force of new provisions regulating the transport of the aforementioned products; that by acting in this way, EDF favored the company SIGED, allowing it time to adapt its production to the new provisions; that subsequently, EDF awarded all contracts to this company to the detriment of competition rules;</w:t>
      </w:r>
    </w:p>
    <w:p>
      <w:r>
        <w:t>Considering that at the current stage of the procedure and subject to the substantive examination, it cannot be excluded that some of the behaviors denounced tend to hinder competition in the relevant sector and may fall within the scope of Articles 7 and 8 of the ordinance of December 1, 1986;</w:t>
      </w:r>
    </w:p>
    <w:p>
      <w:r>
        <w:t xml:space="preserve">On the merits of the request for interim measures:  </w:t>
        <w:br/>
        <w:t>Considering that in addition to its substantive referral, the company SNMO requests the Competition Council to take interim measures by issuing an injunction aimed at ending the "boycott" decided by EDF and the company SIGED against its products;</w:t>
      </w:r>
    </w:p>
    <w:p>
      <w:r>
        <w:t>Considering that under Article 12 of the ordinance of December 1, 1986, interim measures "can only be taken if the practice denounced causes serious and immediate harm to the general economy, to that of the relevant sector, to the interest of consumers, or to the complaining company";</w:t>
      </w:r>
    </w:p>
    <w:p>
      <w:r>
        <w:t>Considering that while the company SNMO has recorded a decline in its overall turnover since 1993 as well as a decrease in turnover with its main client, it is not established that this situation is exclusively or primarily due to the denounced practices; that on the contrary, the turnover with this client was declining even before the mentioned practices could have had any effect; that moreover, the harm cannot be qualified as immediate, as the alleged facts date back several years without any new element being reported; that therefore, the company SNMO does not prove that the practices it alleges have caused it serious and immediate harm necessitating the adoption of emergency measures;</w:t>
      </w:r>
    </w:p>
    <w:p>
      <w:r>
        <w:t xml:space="preserve">Decides:  </w:t>
        <w:br/>
        <w:t>Sole Article. - The request for interim measures registered under number M 182 is rejected.</w:t>
      </w:r>
    </w:p>
    <w:p>
      <w:r>
        <w:t>Deliberated on the oral report of Ms. Elisabeth Maillot-Bouvier by Mr. Barbeau, president, 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