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https://www.autoritedelaconcurrence.fr/fr/decision/relative-une-demande-de-mesures-conservatoires-presentee-par-la-societe-plum-energie-dans</w:t>
      </w:r>
    </w:p>
    <w:p>
      <w:r>
        <w:t>Pages translated : 21</w:t>
      </w:r>
    </w:p>
    <w:p/>
    <w:p>
      <w:r>
        <w:rPr>
          <w:b/>
        </w:rPr>
        <w:t>[Pages 1–3]</w:t>
      </w:r>
    </w:p>
    <w:p>
      <w:r>
        <w:t xml:space="preserve">FRENCH REPUBLIC  </w:t>
        <w:br/>
        <w:t xml:space="preserve">Decision No. 21-D-03 of February 18, 2021, regarding a request for interim measures submitted by the company Plüm Énergie in the electricity supply sector in France  </w:t>
        <w:br/>
        <w:t xml:space="preserve">The Competition Authority (Section V),  </w:t>
        <w:br/>
        <w:t xml:space="preserve">Considering the letters registered on September 14, 2020, under numbers 20/0088 F and 20/0089 M, by which the companies Plüm Énergie and Plüm Entreprises &amp; Collectivités seized the Competition Authority regarding practices implemented by the company Électricité de France, and requested the pronouncement of interim measures;  </w:t>
        <w:br/>
        <w:t xml:space="preserve">Considering Article 102 of the Treaty on the Functioning of the European Union;  </w:t>
        <w:br/>
        <w:t xml:space="preserve">Considering Book IV of the Commercial Code;  </w:t>
        <w:br/>
        <w:t xml:space="preserve">Considering the Energy Code;  </w:t>
        <w:br/>
        <w:t xml:space="preserve">Considering the opinion of October 29, 2020, of the Energy Regulatory Commission issued on the basis of the provisions of Article R. 463-9 of the Commercial Code;  </w:t>
        <w:br/>
        <w:t xml:space="preserve">Considering the decisions on business secrecy No. 20-DSA-474 of September 25, 2020, No. 20-DSA-501 of October 15, 2020, No. 20-DSA-537 of October 29, 2020, No. 20-DSA-539 of October 30, 2020, No. 20-DSA-542 of November 3, 2020, No. 20-DSA-545 of November 6, 2020, No. 20-DSA-559 of November 12, 2020, No. 20-DSA-562 of November 13, 2020, No. 20-DSA-564 of November 16, 2020, No. 20-DSA-582 of November 19, 2020, No. 20-DSA-589 of November 20, 2020, No. 20-DSA-594 of November 23, 2020, No. 20-DSA-603 of November 24, 2020, No. 20-DSA-650 of November 9, 2020; No. 20-DEC-567 of November 16, 2020, No. 20-DEC-651 of December 11, 2020;  </w:t>
        <w:br/>
        <w:t xml:space="preserve">Considering the observations presented by the companies Plüm Énergie and Plüm Entreprises &amp; Collectivités and Électricité de France;  </w:t>
        <w:br/>
        <w:t xml:space="preserve">Considering the other documents in the file;  </w:t>
        <w:br/>
        <w:t xml:space="preserve">The rapporteur, the deputy general rapporteur, the Government Commissioner, and the representatives of the companies Plüm Énergie and Plüm Entreprises &amp; Collectivités and Électricité de France heard during the session of the Competition Authority on December 14, 2020;  </w:t>
        <w:br/>
        <w:t>Adopts the following decision:</w:t>
      </w:r>
    </w:p>
    <w:p>
      <w:r>
        <w:t xml:space="preserve">Summary1  </w:t>
        <w:br/>
        <w:t xml:space="preserve">The companies Plüm Énergie and Plüm Entreprises &amp; Collectivités have seized the Authority arguing that Électricité de France would be practicing predatory pricing in the retail electricity supply market for small non-residential customers.  </w:t>
        <w:br/>
        <w:t xml:space="preserve">The applicants argued that, in the context of the end of regulated retail electricity tariffs (TRV covering Blue tariffs) on December 31, 2020, for non-residential consumption sites (C5 sites), EDF would have offered prices that do not cover the average of its avoidable costs in its responses to calls for tenders launched by local authorities for the concerned sites. According to Plüm Énergie, the prices charged by EDF should be qualified as predatory prices, as they would lead to an exclusion effect regarding alternative suppliers, during a particularly sensitive period conducive to the development of competition.  </w:t>
        <w:br/>
        <w:t xml:space="preserve">The company Plüm Énergie also submitted, in addition to its referral, a request for interim measures aimed at immediately ceasing the alleged behaviors.  </w:t>
        <w:br/>
        <w:t xml:space="preserve">After analyzing the elements provided by the applicant in support of its request for interim measures, the Authority considered that the conditions for the pronouncement of interim measures were not met, as no serious harm to the general economy, to the concerned sector, to the interest of consumers, or to the complaining company was established. It notably noted that Plüm Énergie had won significant calls for tenders against EDF, that its success rate had remained stable, and that it was not demonstrated that it was in a critical situation that could jeopardize its survival in the market. The risk of the complainant being excluded from the market in the short term, and, a fortiori, of other larger main competitors of EDF, was not established in this case, and the request for interim measures was rejected. The authority continues the examination of the referral on the merits.  </w:t>
        <w:br/>
        <w:t>1 This summary is strictly informative. Only the reasons for the decision numbered below are authoritative.</w:t>
      </w:r>
    </w:p>
    <w:p>
      <w:r>
        <w:t xml:space="preserve">TABLE OF CONTENTS  </w:t>
        <w:br/>
        <w:t xml:space="preserve">I. Findings 4  </w:t>
        <w:br/>
        <w:t xml:space="preserve">A. The referral 4  </w:t>
        <w:br/>
        <w:t xml:space="preserve">B. The concerned sector 4  </w:t>
        <w:br/>
        <w:t xml:space="preserve">1. Retail electricity supply 4  </w:t>
        <w:br/>
        <w:t xml:space="preserve">2. The legal framework for retail electricity supply 4  </w:t>
        <w:br/>
        <w:t xml:space="preserve">C. The companies involved 7  </w:t>
        <w:br/>
        <w:t xml:space="preserve">1. The companies Plüm Énergie and Plüm Entreprises &amp; Collectivités ("Plüm") 7  </w:t>
        <w:br/>
        <w:t xml:space="preserve">2. The company Électricité de France ("EDF") 8  </w:t>
        <w:br/>
        <w:t xml:space="preserve">D. The practices denounced 8  </w:t>
        <w:br/>
        <w:t xml:space="preserve">E. The request for interim measures 8  </w:t>
        <w:br/>
        <w:t xml:space="preserve">II. Discussion 9  </w:t>
        <w:br/>
        <w:t xml:space="preserve">A. The applicability of European Union law 9  </w:t>
        <w:br/>
        <w:t xml:space="preserve">B. The relevant market concerned by the referral 10  </w:t>
        <w:br/>
        <w:t xml:space="preserve">1. The material dimension of the markets 10  </w:t>
        <w:br/>
        <w:t xml:space="preserve">a) Distinction by type of consumers 11  </w:t>
        <w:br/>
        <w:t xml:space="preserve">b) Distinction by type of offers (TRV offers and market offers) 12  </w:t>
        <w:br/>
        <w:t xml:space="preserve">2. The geographical dimension of the concerned markets 12  </w:t>
        <w:br/>
        <w:t xml:space="preserve">C. The dominant position of EDF in the market in question 13  </w:t>
        <w:br/>
        <w:t xml:space="preserve">D. The admissibility of the referral on the merits 15  </w:t>
        <w:br/>
        <w:t xml:space="preserve">1. The position of the applicant 15  </w:t>
        <w:br/>
        <w:t xml:space="preserve">2. The Authority's analysis 15  </w:t>
        <w:br/>
        <w:t xml:space="preserve">a) The applicable principles to predatory pricing and exclusion practices 16  </w:t>
        <w:br/>
        <w:t xml:space="preserve">b) Application 17  </w:t>
        <w:br/>
        <w:t xml:space="preserve">E. On the request for interim measures 18  </w:t>
        <w:br/>
        <w:t xml:space="preserve">1. On the serious harm to the complaining company 18  </w:t>
        <w:br/>
        <w:t xml:space="preserve">2. On the serious harm to the general economy, to the concerned sector, and to the interest of competitors and consumers 19  </w:t>
        <w:br/>
        <w:t xml:space="preserve">3. Conclusion 20  </w:t>
        <w:br/>
        <w:t>DECISION 21</w:t>
      </w:r>
    </w:p>
    <w:p>
      <w:r>
        <w:rPr>
          <w:b/>
        </w:rPr>
        <w:t>[Pages 4–6]</w:t>
      </w:r>
    </w:p>
    <w:p>
      <w:r>
        <w:t xml:space="preserve">I. Findings  </w:t>
        <w:br/>
        <w:t xml:space="preserve">A. THE REFERRAL  </w:t>
        <w:br/>
        <w:t xml:space="preserve">1. By a letter registered on September 14, 2020, under number 20/0088 F, the Competition Authority was seized with a complaint from the companies Plüm Énergie and Plüm Entreprises &amp; Collectivités (hereinafter "Plüm"), directed against practices allegedly implemented by the company Électricité de France (hereinafter "EDF") in the electricity supply sector in France.  </w:t>
        <w:br/>
        <w:t xml:space="preserve">2. The practices reported are primarily predatory pricing practices concerning the supply of electricity to small non-residential customers.  </w:t>
        <w:br/>
        <w:t xml:space="preserve">3. Incidentally to the referral on the merits, by a letter registered on September 14, 2020, under number 20/0089 M, Plüm requested, on the basis of Article L. 464-1 of the Commercial Code, the pronouncement of interim measures.  </w:t>
        <w:br/>
        <w:t xml:space="preserve">4. Consulted pursuant to the provisions of Article R. 463-9 of the Commercial Code, the Energy Regulatory Commission (hereinafter "CRE") issued its opinion on October 29, 2020.  </w:t>
        <w:br/>
        <w:t xml:space="preserve">B. THE RELEVANT SECTOR  </w:t>
        <w:br/>
        <w:t xml:space="preserve">1. RETAIL ELECTRICITY SUPPLY  </w:t>
        <w:br/>
        <w:t xml:space="preserve">5. The electricity sector is organized around four main poles: production, transmission, distribution, and marketing of electricity.  </w:t>
        <w:br/>
        <w:t xml:space="preserve">6. In addition to these, there are purely financial activities, such as brokerage and trading on the over-the-counter market or on organized markets.  </w:t>
        <w:br/>
        <w:t xml:space="preserve">7. Each of these poles corresponds to a specific activity for supplying final customers with electricity.  </w:t>
        <w:br/>
        <w:t xml:space="preserve">8. Among the marketing activities, the retail supply of electricity to final consumers consists of selling them electricity purchased in bulk or produced by the supplier.  </w:t>
        <w:br/>
        <w:t xml:space="preserve">9. The referral and the request for interim measures associated with it concern this activity.  </w:t>
        <w:br/>
        <w:t xml:space="preserve">2. THE LEGAL FRAMEWORK FOR RETAIL ELECTRICITY SUPPLY  </w:t>
        <w:br/>
        <w:t xml:space="preserve">10. The opening up to competition of the retail electricity supply activity was initiated with the adoption of Directive 96/92/EC of December 19, 1996, concerning common rules for the internal electricity market and has continued progressively, first for industrial customers, then for all consumers.  </w:t>
        <w:br/>
        <w:t xml:space="preserve">11. The principle of free choice of retail electricity supplier was established for customers, in successive stages:  </w:t>
        <w:br/>
        <w:t xml:space="preserve">- February 1, 1999: customers consuming more than 100 GWh/year;  </w:t>
        <w:br/>
        <w:t xml:space="preserve">- June 1, 2000: customers consuming more than 16 GWh/year;  </w:t>
        <w:br/>
        <w:t xml:space="preserve">- February 1, 2003: customers consuming more than 7 GWh/year;  </w:t>
        <w:br/>
        <w:t xml:space="preserve">- July 1, 2004: all non-residential customers;  </w:t>
        <w:br/>
        <w:t xml:space="preserve">- July 1, 2007: all customers (residential and non-residential).  </w:t>
        <w:br/>
        <w:t xml:space="preserve">12. In parallel to this opening up to competition, the French public authorities maintained the existence of regulated retail tariffs (hereinafter "TRV"). These tariffs are established pursuant to Articles L. 337-4 and following of the Energy Code, which provide that TRVs are set jointly by the ministers responsible for energy and the economy, after consultation with the CRE. Article L. 337-5 of the Energy Code also specifies that: "The regulated tariffs for the sale of electricity are defined based on categories based on the intrinsic characteristics of the supplies, according to the costs mentioned in Article L. 337-6."  </w:t>
        <w:br/>
        <w:t xml:space="preserve">13. The supply of electricity at TRVs is the responsibility of so-called "historical" suppliers, that is to say, those present before the opening of the electricity markets: Électricité de France and local distribution companies (hereinafter "ELD"). Électricité de France is, in particular, the only supplier marketing TRVs in the Enedis service area (the operator of the electricity distribution network serving 95% of French consumers).  </w:t>
        <w:br/>
        <w:t xml:space="preserve">14. Throughout almost the entire French territory (Enedis service area), consumers eligible for TRV offers currently have the choice between:  </w:t>
        <w:br/>
        <w:t xml:space="preserve">- TRV offers that are exclusively proposed by Électricité de France;  </w:t>
        <w:br/>
        <w:t xml:space="preserve">- so-called "market" offers that are proposed both by Électricité de France and by new electricity suppliers, referred to as "alternative suppliers."  </w:t>
        <w:br/>
        <w:t xml:space="preserve">15. In order to put an end to the infringement procedure initiated against France by the European Commission on December 12, 2006, due to the maintenance of TRVs for non-residential consumers and to comply with the commitments made before the Commission by the French government, Law No. 2010-1488 of December 7, 2010 (known as the "NOME Law") confirmed the elimination of TRVs for domestic and non-domestic final consumers, for their sites subscribing to a power less than or equal to 36 kilovolt-amperes (corresponding to the Yellow and Green TRVs) as of January 1, 2016. The schedule and modalities for implementing this phase-out of the said tariffs were specified by Law No. 2014-344 of March 17, 2014 (known as the "Hamon Law").  </w:t>
        <w:br/>
        <w:t xml:space="preserve">16. Law No. 2019-1147 of November 8, 2019 (known as the "Energy-Climate Law") reduced the categories of consumers eligible for TRVs. It thus provides for the elimination of these tariffs for non-domestic consumers who employ 10 or more people, or who employ fewer than 10 people and have an annual turnover, revenue, and total balance sheet strictly exceeding 2 million euros. These clients are required to subscribe to a market offer contract before January 1, 2021, with the supplier of their choice. Since January 1, 2020, regulated tariffs can no longer be marketed to consumers who do not meet the eligibility conditions described above.  </w:t>
        <w:br/>
        <w:t xml:space="preserve">17. The Energy-Climate Law provides that historical suppliers (EDF and ELD) must, after identifying their clients who are no longer eligible under the new conditions described above, inform them of the end of their eligibility, the existence of available market offers, and the offer comparator of the national energy mediator, in a neutral, understandable, and visible manner (this information may be provided through invoices, websites and customer spaces, letters, telephone conversations).  </w:t>
        <w:br/>
        <w:t xml:space="preserve">18. The Energy-Climate Law also introduces an obligation on historical suppliers (EDF and ELD) to grant, free of charge and to any alternative supplier making the request, access to the contact and consumption data of their clients who are no longer eligible for TRVs. To this end, historical operators are required to ensure beforehand that there is no opposition from their clients to the transmission of their data.  </w:t>
        <w:br/>
        <w:t>19. The graph below presents a summary of the various stages of the liberalization of the electricity supply market that have been described above.</w:t>
      </w:r>
    </w:p>
    <w:p>
      <w:r>
        <w:rPr>
          <w:b/>
        </w:rPr>
        <w:t>[Pages 7–9]</w:t>
      </w:r>
    </w:p>
    <w:p>
      <w:r>
        <w:t xml:space="preserve">Graph 1 - Timeline of the opening of the retail electricity supply activity and the disappearance of regulated tariffs in France  </w:t>
        <w:br/>
        <w:t xml:space="preserve">Source: CRE Observatory, "Retail Markets for Electricity and Natural Gas," 2nd quarter 2020, page 6.  </w:t>
        <w:br/>
        <w:t xml:space="preserve">C. THE COMPANIES CONCERNED  </w:t>
        <w:br/>
        <w:t xml:space="preserve">1. THE COMPANIES PLÜM ÉNERGIE AND PLÜM ENTREPRISES &amp; COLLECTIVITÉS ("PLÜM")  </w:t>
        <w:br/>
        <w:t xml:space="preserve">20. Plüm Énergie SAS (formerly known as Xélan SAS) specializes in the energy sector and has been engaged in the electricity supply business since 2016. Plüm initially developed its supply activity by offering green offers aimed at residential customers, accompanied, in particular, by energy consumption optimization advice and rewarding reduced consumption with the granting of "eco-bonuses."  </w:t>
        <w:br/>
        <w:t xml:space="preserve">21. Since 2017, Plüm has decided to diversify its supply activity by offering services to local authorities for their sites with a connection power of less than 36 kilovolt-amperes (hereinafter "kVA"), which correspond to so-called "C5" sites. In this regard, Plüm is gradually delegating the sales activity to businesses and local authorities to its subsidiary Plüm Entreprises et Collectivités (which Plüm controls 100%).  </w:t>
        <w:br/>
        <w:t xml:space="preserve">22. Between 2017 and 2019, Plüm won several significant public tenders representing approximately 35,000 sites in total. During this period, Plüm experienced strong growth in its annual revenue, which increased from 2 million euros in 2017 to 35 million euros in 2019. In 2020, Plüm won four new tenders, concerning deliverable volumes starting in 2021 (for a total volume of approximately 18,000 sites).  </w:t>
        <w:br/>
        <w:t xml:space="preserve">14 https://plum.fr/offre-electricite-verte/  </w:t>
        <w:br/>
        <w:t xml:space="preserve">15 Enedis distinguishes different types of network users (C1 to C5 sites) based on the type and connection power. In this segmentation, C5 sites correspond to connection points connected at low voltage, with a connection power of less than or equal to 36 kVA and associated with a single contract.  </w:t>
        <w:br/>
        <w:t xml:space="preserve">16 References 1372 VC, 1388 VNC.  </w:t>
        <w:br/>
        <w:t xml:space="preserve">17 Reference 10.  </w:t>
        <w:br/>
        <w:t xml:space="preserve">18 References 1372 VC, 1388 VNC.  </w:t>
        <w:br/>
        <w:t xml:space="preserve">2. THE COMPANY ÉLECTRICITÉ DE FRANCE ("EDF")  </w:t>
        <w:br/>
        <w:t xml:space="preserve">23. EDF is the historical electricity operator in France, involved in all sectors of electricity: production, transmission, distribution, and supply of electricity.  </w:t>
        <w:br/>
        <w:t xml:space="preserve">24. EDF was created in 1946 as a public industrial and commercial establishment (EPIC), before being transformed into a public limited company by Law No. 2004-803 of August 9, 2004, relating to the public service of electricity, gas, and electric and gas companies. On November 21, 2005, the company opened its capital through a stock market listing.  </w:t>
        <w:br/>
        <w:t xml:space="preserve">25. Since 1946, EDF has been marketing electricity supply offers on approximately 95% of the continental metropolitan territory (Enedis zone and RTE zone), as well as in the territory of certain local distribution companies ("ELD"). In accordance with the law, EDF is also currently the only supplier of electricity offers in Corsica and in the overseas territories, according to a dedicated organization independent of EDF's Commercial Directorate, called EDF Systèmes Énergétiques Insulaires (EDF SEI).  </w:t>
        <w:br/>
        <w:t xml:space="preserve">26. In 2019, the EDF group achieved a global revenue of 71.3 billion euros.  </w:t>
        <w:br/>
        <w:t xml:space="preserve">D. THE PRACTICES REPORTED  </w:t>
        <w:br/>
        <w:t xml:space="preserve">27. According to the complainant, EDF would have implemented predatory pricing practices in the retail electricity supply market for small non-residential customers, by offering prices below its average avoidable costs, particularly in response to tenders issued by local authorities and departmental energy unions for lots of C5 sites (sites whose eligibility for regulated tariffs expires on December 31, 2020).  </w:t>
        <w:br/>
        <w:t xml:space="preserve">28. According to Plüm, by implementing these practices, EDF would have abused its dominant position in the electricity supply markets for French consumers, a practice prohibited by the provisions of Articles L. 420-2 of the Commercial Code and 102 of the Treaty on the Functioning of the European Union (hereinafter "TFEU").  </w:t>
        <w:br/>
        <w:t xml:space="preserve">E. THE REQUEST FOR INTERIM MEASURES  </w:t>
        <w:br/>
        <w:t xml:space="preserve">29. Incidentally to its referral on the merits, Plüm submitted a request for interim measures, for EDF to be ordered to:  </w:t>
        <w:br/>
        <w:t xml:space="preserve">- cover its avoidable costs as listed in the referral on the merits, as well as a minimal part of its other costs, in its responses to tenders in the French retail electricity supply market for small non-residential customers, it being understood that the avoidable costs related to purchases on wholesale markets (energy, capacity, energy savings certificates, guarantees of origin) must be set at a level equal to the prices observed on these intermediate markets at the date of the offer (including transaction costs on these markets);  </w:t>
        <w:br/>
        <w:t xml:space="preserve">- designate an independent representative responsible for the prior control of the compliance of the offers, or failing that, an independent auditor (who may be one of EDF's statutory auditors), approved by the Authority, and to provide its non-residential C5 clients, upon any response to a public or private tender, under penalty of nullity of that response, with a document from the auditor certifying its compliance with competition law (with a copy to the Authority and to the CRE within a period not exceeding five working days from the day of the offer);  </w:t>
        <w:br/>
        <w:t xml:space="preserve">- prepare a monthly report to the Authority and to the CRE regarding its commercial and pricing policy in the French retail electricity supply market for small non-residential customers and on the compliance of its practices with competition law, this report being subject to a written assessment by the representative or, where applicable, by the auditor.  </w:t>
        <w:br/>
        <w:t xml:space="preserve">II. Discussion  </w:t>
        <w:br/>
        <w:t xml:space="preserve">30. After examining the applicability of European Union law (A), defining the relevant market concerned by the referral (B), and examining the position that EDF is likely to have in the market in question (C), it will be necessary to rule on the admissibility of the referral on the merits (D), and then on the request for interim measures (E).  </w:t>
        <w:br/>
        <w:t xml:space="preserve">A. THE APPLICABILITY OF EUROPEAN UNION LAW  </w:t>
        <w:br/>
        <w:t xml:space="preserve">31. Article 102 TFEU prohibits, insofar as trade between Member States may be affected, the abuse by one or more enterprises of a dominant position within the internal market or in a substantial part of it. Based on the consistent case law of the European judges, and in light of the European Commission's communication regarding the notion of affecting trade as set out in Articles 81 and 82 of the EC Treaty (now Articles 101 and 102 of the TFEU), the Competition Authority considers that three elements must be present for practices to be likely to significantly affect trade between Member States: the existence of exchanges, at least potential, between Member States concerning the services in question (i), the existence of practices likely to affect these exchanges (ii), and the sensitive nature of this possible effect (iii).  </w:t>
        <w:br/>
        <w:t>32. In the present case, suppliers whose headquarters are established in other Member States (e.g., ENI, Vattenfall, Iberdrola, etc.) market electricity supply offers in French territory. Thus, if the practices reported by the complainant were proven, these suppliers would likely be discouraged from engaging in activity in the French electricity supply markets. These practices could therefore make it more difficult for EDF's competitors to enter the French market and are likely to affect trade between Member States.</w:t>
      </w:r>
    </w:p>
    <w:p>
      <w:r>
        <w:rPr>
          <w:b/>
        </w:rPr>
        <w:t>[Pages 10–12]</w:t>
      </w:r>
    </w:p>
    <w:p>
      <w:r>
        <w:t xml:space="preserve">33. Furthermore, by allowing the company EDF to secure a significant volume of retail electricity supply in the French markets, the practices denounced, if established, would also be likely to alter the competitive position of EDF and its competitors active in other Member States.  </w:t>
        <w:br/>
        <w:t xml:space="preserve">34. Finally, the practices denounced cover the entire national territory, with EDF marketing its market offers related to electricity throughout it. Moreover, it markets the regulated electricity tariffs in the Enedis service area, which covers 95% of electricity consumers. The practices denounced would therefore likely have a significant impact on trade between Member States.  </w:t>
        <w:br/>
        <w:t xml:space="preserve">35. At this stage of the investigation, and subject to a substantive review, it is therefore appropriate to consider that the alleged practices are likely to significantly affect trade between Member States and to be qualified under Article 102 TFEU.  </w:t>
        <w:br/>
        <w:t xml:space="preserve">B. THE RELEVANT MARKET CONCERNED BY THE REFERRAL  </w:t>
        <w:br/>
        <w:t xml:space="preserve">36. The analysis of the behaviors in question under Articles L. 420-2 of the Commercial Code and 102 TFEU first requires defining the relevant markets. Indeed, in matters of abuse of dominant position, "the adequate definition of the relevant market is a necessary and preliminary condition for assessing a purportedly anti-competitive behavior, since, before establishing the existence of an abuse of dominant position, it is necessary to establish the existence of a dominant position in a given market, which implies that this market has been previously delineated."23 Beyond the assessment of the dominant position itself, the definition of the markets in question is also necessary for analyzing the effects of an exclusionary practice, whether real or potential.24  </w:t>
        <w:br/>
        <w:t xml:space="preserve">1. THE MATERIAL DIMENSION OF THE MARKETS  </w:t>
        <w:br/>
        <w:t xml:space="preserve">37. The decisional practice of competition authorities distinguishes the electricity sector from other energy sectors, notably natural gas, due to the lack of substitutability between these two products.25  </w:t>
        <w:br/>
        <w:t xml:space="preserve">38. Within the value chain of the electricity sector, the European Commission and the Competition Authority have identified a number of distinct activities, from upstream to downstream26 (described in paragraphs 5 to 8 above).  </w:t>
        <w:br/>
        <w:t xml:space="preserve">39. In this case, the referral from Plüm concerns the activity of retail electricity supply.  </w:t>
        <w:br/>
        <w:t xml:space="preserve">23 Judgment of the Court of the European Union of July 6, 2000, case T-62/98, Volkswagen AG / Com., paragraph 230.  </w:t>
        <w:br/>
        <w:t xml:space="preserve">24 See, for example, the annual report of the Competition Council for the year 2001, thematic study on the relevant market, pp. 3-4.  </w:t>
        <w:br/>
        <w:t xml:space="preserve">25 See, in particular, decisions of the Competition Authority No. 12-DCC-20 of February 7, 2012, concerning the exclusive control of Enerest by Électricité de Strasbourg, paragraph 6 and the cited decisional practice; No. 14-MC-02 of September 9, 2014, concerning a request for interim measures submitted by Direct Énergie in the gas and electricity sectors, paragraph 42.  </w:t>
        <w:br/>
        <w:t xml:space="preserve">26 See, in particular, decision No. 12-DCC-20 cited above, paragraph 7 and the cited decisional practice.  </w:t>
        <w:br/>
        <w:t xml:space="preserve">40. Within the electricity supply activity, the Competition Authority makes a distinction based on the following two criteria: (i) the type of consumer and (ii) the type of offer marketed.27  </w:t>
        <w:br/>
        <w:t xml:space="preserve">a) Distinction by type of consumers  </w:t>
        <w:br/>
        <w:t xml:space="preserve">41. The European Commission's Communication on the definition of the relevant market specifies that within a product market, "the existence of several groups of customers may encourage a narrower definition of the product market."28  </w:t>
        <w:br/>
        <w:t xml:space="preserve">42. As a preliminary point, it is appropriate to present the segmentation adopted by the French energy regulator (CRE), which identifies four customer segments based on the subscribed power (expressed in kilowatts): large non-residential sites, medium non-residential sites, small non-residential sites, and residential sites.  </w:t>
        <w:br/>
        <w:t xml:space="preserve">43. At the European level, the Commission distinguishes large industrial customers whose annual consumption exceeds 7 GWh/year, small industrial and commercial customers whose annual consumption is below 7 GWh/year but with a connection power exceeding 36 kVA, and small professional customers with a connection power less than or equal to 36 kVA.29  </w:t>
        <w:br/>
        <w:t xml:space="preserve">44. At the national level, the Competition Authority distinguishes customers based on whether they are connected to the transmission network or the distribution network30:  </w:t>
        <w:br/>
        <w:t xml:space="preserve">- large industrial and commercial customers connected to the transmission network;  </w:t>
        <w:br/>
        <w:t xml:space="preserve">- small industrial, commercial, and residential customers connected to the distribution network.  </w:t>
        <w:br/>
        <w:t xml:space="preserve">45. Finally, the Competition Authority has also considered31 the possibility of using the classification employed by the CRE, while leaving this question open, as it had no impact on the conclusions of the competitive analysis it was seized with.  </w:t>
        <w:br/>
        <w:t xml:space="preserve">46. Given the different approaches adopted so far by European and French decisional practice, the segmentation defined by the CRE, and the subject of the referral, it is possible to retain as the relevant market the market for retail electricity supply to small non-residential customers. These customers correspond to sites of type C5 according to the Enedis segmentation (see footnote 15), eligible for the Blue Tariff32, and connected to the distribution network with a connection power less than or equal to 36 kVA.  </w:t>
        <w:br/>
        <w:t xml:space="preserve">47. In this market, it is already possible to observe that the demand is not entirely homogeneous, depending on whether the installations of connected clients are single-site or multi-site, which affects purchasing methods, the type of offers marketed, as well as the underlying commercial approach to supply these types of clients.  </w:t>
        <w:br/>
        <w:t xml:space="preserve">48. Indeed, clients with numerous sites (local authorities, large companies), especially when they use purchasing groups, will most often issue calls for tenders that involve very large consumption volumes and can include several thousand sites, sometimes with different connection powers.33 Thus, suppliers must develop capabilities to respond to these complex calls for tenders with "customized offers."  </w:t>
        <w:br/>
        <w:t xml:space="preserve">49. In contrast, small single-site or low multi-site clients (hairdressers, bakers, small artisans) have consumption profiles more similar to those of residential clients. They subscribe to a standardized offer ("catalog offer") and are generally subject to mass marketing.  </w:t>
        <w:br/>
        <w:t xml:space="preserve">50. Nevertheless, it is not necessary, at this stage of the investigation and for the purposes of this analysis, to rule on the question of the exact definition of these markets, as, regardless of the delineation retained, the conclusions remain unchanged.  </w:t>
        <w:br/>
        <w:t xml:space="preserve">b) Distinction by type of offers (regulated offers and market offers)  </w:t>
        <w:br/>
        <w:t xml:space="preserve">51. It has been considered to delineate, within each customer segment, narrower markets covering the type of offer marketed (regulated offers, on the one hand, and market offers, on the other).  </w:t>
        <w:br/>
        <w:t xml:space="preserve">52. However, the supply of electricity under market offers is substitutable for a regulated offer, as it is the same product meeting the same need. The price proposed in market offers is often constructed relative to the level of the regulated offer (on a regulated offer – X%), so that market offers exert competitive pressure on regulated offers.  </w:t>
        <w:br/>
        <w:t xml:space="preserve">53. Moreover, the dynamics of the markets, which trend towards converting customers from regulated offers to market offers, corroborates this substitutability.  </w:t>
        <w:br/>
        <w:t xml:space="preserve">54. At this stage of the investigation, it is therefore appropriate to retain a single product market composed of a segment of regulated offers and a segment of market offers.  </w:t>
        <w:br/>
        <w:t xml:space="preserve">2. THE GEOGRAPHICAL DIMENSION OF THE MARKETS CONCERNED  </w:t>
        <w:br/>
        <w:t xml:space="preserve">55. The markets for retail electricity supply have been considered both by the European Commission34 and by the Competition Authority35 as being of national dimension.  </w:t>
        <w:br/>
        <w:t xml:space="preserve">33 Calls for tenders can indeed simultaneously cover consumption sites from C1 to C5, in a separable manner (i.e., within distinct lots for each type of site) or inseparable.  </w:t>
        <w:br/>
        <w:t xml:space="preserve">34 See, for example, decisions of the European Commission M.3440 EDP/ENI/GDP; M.4994 Electrabel/Compagnie Nationale du Rhône; M.7137 - EDF / DALKIA cited above.  </w:t>
        <w:br/>
        <w:t>35 See, for example, decisions No. 17-DCC-16 of February 8, 2017, cited above; No. 16-DCC-153 of October 20, cited above.</w:t>
      </w:r>
    </w:p>
    <w:p>
      <w:r>
        <w:rPr>
          <w:b/>
        </w:rPr>
        <w:t>[Pages 13–15]</w:t>
      </w:r>
    </w:p>
    <w:p>
      <w:r>
        <w:t xml:space="preserve">56. The retail electricity supply market for small non-residential customers will therefore be considered, at this stage, as being of national dimension.  </w:t>
        <w:br/>
        <w:t xml:space="preserve">C. EDF'S DOMINANT POSITION IN THE RELEVANT MARKET  </w:t>
        <w:br/>
        <w:t xml:space="preserve">57. The analysis of the market power held by EDF in the relevant markets is an essential prerequisite for examining the behaviors denounced by Plüm in its complaint and request for interim measures. Indeed, it is because the company in a dominant position is invested with a particular responsibility that certain of its behaviors may be considered anti-competitive based on Articles L. 420-2 of the Commercial Code and 102 of the TFEU.  </w:t>
        <w:br/>
        <w:t xml:space="preserve">58. According to consistent case law from the Court of Justice, the dominant position referred to in Article 102 of the TFEU concerns a situation of economic power held by a company that gives it the ability to impede the maintenance of effective competition in the relevant market, by providing it with the possibility of independent behavior to a significant extent in relation to its competitors, its customers, and ultimately consumers. In its activity report for the year 2010, the Competition Authority recalled that "both internal and community case law defines a dominant position as the situation in which a company is able to act independently of the market conditions and to act fairly freely without taking into account the behavior and reactions of its competitors."  </w:t>
        <w:br/>
        <w:t xml:space="preserve">59. The assessment of a company's dominant position is therefore carried out based on a set of indicators that take into account structural data, such as the market shares of the company and its main competitors, but also elements that may give a competitive advantage to the company in question, such as belonging to a powerful group, holding a brand image, or having a distribution network covering the national territory.  </w:t>
        <w:br/>
        <w:t xml:space="preserve">60. Regarding market shares in particular, the Court of Justice considers that a significant market share allows for the presumption of the existence of a dominant position: "As for market shares, the Court has ruled (judgment of February 13, 1979, Hoffmann La Roche, point 41, 85/76, Rec. p. 461) that extremely large shares constitute, by themselves, and unless exceptional circumstances, proof of the existence of a dominant position. This is the case for a market share of 50% as observed in this instance." This presumption, which has been upheld several times by the Competition Authority, is explained by the fact that "the possession of an extremely large market share places the company that holds it for a certain period, by the volume of production and supply it represents - without the holders of significantly smaller shares being able to quickly meet the demand that would wish to turn away from the company holding the largest share - in a position of strength that makes it a necessary partner and, already by this fact, ensures it, at least for relatively long periods, the independence of behavior characteristic of a dominant position."  </w:t>
        <w:br/>
        <w:t xml:space="preserve">61. Furthermore, a decrease in market shares during the period concerned by the practices does not exclude the existence of a dominant position, as a reduction in still very significant market shares cannot, in itself, constitute proof of the absence of a dominant position. The Competition Authority has also held that decreasing market shares that remain significant can constitute a relevant element for qualifying a dominant position.  </w:t>
        <w:br/>
        <w:t xml:space="preserve">62. In this case, in the relevant market defined above, EDF held, at the end of June 2020, market shares of [60-70]% in volume of consumption and [65-75]% in number of sites.  </w:t>
        <w:br/>
        <w:t xml:space="preserve">63. It should thus be noted that, although declining since 2015, EDF's market shares remain very significant, more than 16 years after the opening of the sector to competition.  </w:t>
        <w:br/>
        <w:t xml:space="preserve">64. Case law also considers, as part of the other elements for assessing a dominant position, the gap between the market share of the historical operator and that of its closest competitors. However, in the relevant market, the CRE indicates that in June 2020, the regulated tariffs (TRV) were still predominant and represented 63.3% of the concerned sites, which were therefore entirely within EDF's portfolio. It thus appears that in June 2020, 36 alternative suppliers (to which EDF, which also markets market offers, is added) shared a cumulative market share of 36.7%, so that their individual market share was presumably minimal compared to that held by the historical operator.  </w:t>
        <w:br/>
        <w:t xml:space="preserve">65. For example, as of December 31, 2019, Total Direct Énergie, the second largest supplier in this market behind EDF, had a market share approximately five times lower than that of EDF, while Engie, another significant economic player in the market and historical operator in the gas markets, held a market share approximately six times lower than that of EDF. The relevant market is therefore particularly concentrated in favor of EDF. Indeed, the HHI is estimated by the CRE in the second quarter of 2020 to be over 5,400 in terms of sites and 4,900 in terms of volume of consumption, which corresponds to a very high concentration.  </w:t>
        <w:br/>
        <w:t xml:space="preserve">66. Finally, as the historical operator in the electricity market, EDF holds significant competitive advantages, such as its brand image and reputation, but also all of its sales teams - funded by the TRV for years - present throughout the national territory, giving it a unique territorial network and experience.  </w:t>
        <w:br/>
        <w:t xml:space="preserve">67. It follows from all of the above that EDF can be considered to be in a dominant position in the retail electricity supply market for small non-residential sites (C5 non-residential sites).  </w:t>
        <w:br/>
        <w:t xml:space="preserve">D. ADMISSIBILITY OF THE REFERRAL ON THE MERITS  </w:t>
        <w:br/>
        <w:t xml:space="preserve">68. According to the case law of the Court of Cassation, "interim measures may be decided as long as the facts denounced appear likely, based on the elements presented in the debates, to constitute a practice contrary to Articles L. 420-1 or L. 420-2 of the Commercial Code, directly and certainly causing a serious and immediate harm to the interests protected by Article L. 464-1 of the Commercial Code; (...) the characterization of such a practice is not required at this stage of the procedure" (judgment of the Court of Cassation of October 4, 2016, Orange, No. 15-14158).  </w:t>
        <w:br/>
        <w:t xml:space="preserve">1. THE POSITION OF THE REFERRING PARTY  </w:t>
        <w:br/>
        <w:t xml:space="preserve">69. In support of its allegations that EDF's offers do not cover its average avoidable costs (see paragraph 27 above), Plüm explains that, even though it made price proposals equivalent to those that allowed it to win tenders in 2018 and 2019, it lost to EDF six tenders for seven lots in 2020.  </w:t>
        <w:br/>
        <w:t xml:space="preserve">70. The complainant cites in this regard five examples of lots related to four tenders for which it calculated, based on elements regarding the prices charged by EDF that it had and estimates of EDF's costs associated with these lots, that EDF's prices were below the average of its avoidable costs. Furthermore, Plüm estimates that predatory prices may have been charged by EDF regarding four other lots related to three tenders, for which it does not, however, have elements.  </w:t>
        <w:br/>
        <w:t xml:space="preserve">71. Plüm claims that these examples reveal a predatory strategy implemented by EDF across all its responses to tenders issued by non-residential customers for C5 sites.  </w:t>
        <w:br/>
        <w:t xml:space="preserve">2. THE AUTHORITY'S ANALYSIS  </w:t>
        <w:br/>
        <w:t>72. To apply the cost test defined by case law (see below in paragraph 81), Plüm relied on the cost data published by the CRE and indeed used for the construction of the TRV. The CRE indicates in this regard that "the assumptions used in the construction of the non-residential TRVE [regulated electricity sales tariffs] fall under the application of a regulatory framework and methodological choices that do not necessarily impose themselves on suppliers who are free to construct their market offers according to their own methodology, in compliance with competitive rules." However, in this case, the referring company could only make estimates based on this public information, as the cost data related to the market offers of one of its main competitors was not accessible to it.</w:t>
      </w:r>
    </w:p>
    <w:p>
      <w:r>
        <w:rPr>
          <w:b/>
        </w:rPr>
        <w:t>[Pages 16–18]</w:t>
      </w:r>
    </w:p>
    <w:p>
      <w:r>
        <w:t xml:space="preserve">73. Plüm's analysis has, by its very nature, certain limitations, as it only takes into account the assumptions underlying the development of the regulated tariffs (TRV) and therefore requires corrections. However, the CRE indicates in its opinion that these corrections are likely to explain only a small part of the discrepancy highlighted by Plüm between the price proposed by EDF and the predatory threshold. It concludes that "given the discrepancies highlighted by Plüm that exceed this order of magnitude, it appears essential to conduct a thorough and detailed analysis of each case within the framework of the substantive examination of the Authority's referral."  </w:t>
        <w:br/>
        <w:t xml:space="preserve">74. In this case, some of the facts reported by the complainant could therefore be likely to constitute an abuse of a dominant position contrary to Article L. 420-2 of the Commercial Code and Article 102 of the Treaty on the Functioning of the European Union.  </w:t>
        <w:br/>
        <w:t xml:space="preserve">75. According to Article 102 TFEU: "Any abuse by one or more undertakings of a dominant position within the internal market or in a substantial part of it shall be incompatible with the common market and prohibited in so far as it may affect trade between Member States."  </w:t>
        <w:br/>
        <w:t xml:space="preserve">76. Article L. 420-2 of the Commercial Code provides that "The abusive exploitation by an undertaking or a group of undertakings of a dominant position on the internal market or a substantial part of it is prohibited under the conditions laid down in Article L. 420-1."  </w:t>
        <w:br/>
        <w:t xml:space="preserve">a) The principles applicable to predatory and exclusionary pricing practices  </w:t>
        <w:br/>
        <w:t xml:space="preserve">77. A low pricing practice implemented by a dominant undertaking may be classified as predatory pricing when the prices do not allow the dominant undertaking to cover certain costs.  </w:t>
        <w:br/>
        <w:t xml:space="preserve">78. However, engaging in predatory pricing cannot be considered the sole behavior of a dominant undertaking based on a low pricing practice that would be prohibited by Articles 102 TFEU and L. 420-2 of the Commercial Code. This may also be the case, in particular, for practices based on prices that, unlike predatory prices, do not fall within a short-term sacrifice logic, but nevertheless tend to restrict competition through an exclusionary effect.  </w:t>
        <w:br/>
        <w:t xml:space="preserve">79. These practices may take the form of exclusionary prices that tend to artificially hinder competitors' access to the market and thus maintain or strengthen the dominant position of the undertaking implementing them.  </w:t>
        <w:br/>
        <w:t xml:space="preserve">80. As highlighted by the Paris Court of Appeal in its judgment of November 6, 2014, "the Court of Justice has, in [the judgment Post Danmark A/S v. Konkurrencerådet, case C-23/14, paragraph 27], found that this framework is not only relevant for assessing the legality of predatory pricing practices, based on a comparison of the prices concerned and some of the costs incurred by the dominant undertaking as well as on the objectively pursued strategy by it, but also, more broadly, for assessing the legality of any low pricing practice implemented by an undertaking occupying a dominant position in light of the prohibition of abuses of a dominant position."  </w:t>
        <w:br/>
        <w:t xml:space="preserve">81. In practice, under both French and European law, the implementation of the cost test, whether to assess the existence of a predatory pricing practice or exclusionary pricing, involves a dual cost standard and is structured as follows:  </w:t>
        <w:br/>
        <w:t xml:space="preserve"> white zone: when the prices charged by the dominant undertaking are above the average total costs (ATC) in the case of a single-product undertaking or above the long-term average incremental costs (LTAIC, i.e., the average of all variable and fixed costs specifically incurred to produce a given product) in the case of a multi-product undertaking, the practice may be presumed lawful under competition rules;  </w:t>
        <w:br/>
        <w:t xml:space="preserve"> black zone: when the prices charged by the dominant undertaking are below the short-term cost standard, namely the average variable costs (AVC) in the case of a single-product undertaking or avoidable costs (AC) in the case of a multi-product undertaking, in principle, the practice may be presumed abusive, regardless of the proof of an intention to exclude;  </w:t>
        <w:br/>
        <w:t xml:space="preserve"> gray zone: when the prices are below the long-term cost standard (ATC or LTAIC) but above the short-term cost standard (AVC or AC), the practice must be considered abusive if it can be proven that the prices are set within a plan aimed at eliminating one or more competitors, or that the prices are likely to cause exclusionary effects, whether potential or real.  </w:t>
        <w:br/>
        <w:t xml:space="preserve">b) Application  </w:t>
        <w:br/>
        <w:t xml:space="preserve">82. In order to carry out the cost test derived from case law, it is necessary to first define the relevant activity scope against which the coverage of costs by prices can be assessed. This activity scope is determined based on the market in which the practices occur, the relevant material and temporal horizon (short, medium, or long term), as well as the structure and strategy of the undertaking in question.  </w:t>
        <w:br/>
        <w:t xml:space="preserve">83. At this stage, different activity scopes have been considered by the investigating services, under which, under certain assumptions, it is not excluded that EDF does not cover its costs. In the context of the substantive investigation, it will be up to the investigating services to deepen the analyses conducted on the various activity scopes considered, in order to assess EDF's coverage, on the one hand, of its average avoidable costs and, on the other hand, of its long-term incremental costs.  </w:t>
        <w:br/>
        <w:t xml:space="preserve">53 See, in particular, the judgment of the Court of Justice of the European Union of March 27, 2012, Post Danmark A/S v. Konkurrencerådet, case C-209/10, paragraph 27. See also, for example, the decision of the Competition Authority No. 17-D-16 of September 7, 2017, regarding practices implemented by Engie in the energy sector, paragraph 54; Study of the Competition Authority, "Loyalty Discounts," November 2018, page 66.  </w:t>
        <w:br/>
        <w:t xml:space="preserve">54 See Commission, DG Competition discussion paper on the application of Article 82 of the Treaty to exclusionary abuses, December 2005, paragraph 107 and Commission Guidelines, paragraph 64 footnote 3. See also, the European Commission decision of May 13, 2009, Intel, case COMP/C-3/37.990, paragraphs 1036 and following.  </w:t>
        <w:br/>
        <w:t xml:space="preserve">55 The decision-making practice indeed provides that, in cases where fixed costs are significant, it may be necessary to adapt this standard. See, for example, the aforementioned Intel decision, paragraph 1036. See also Commission, DG Competition discussion paper, paragraph 126; European Commission decision of July 4, 2007, Wanadoo España/Telefónica, case COMP/38.784, paragraphs 316 and following.  </w:t>
        <w:br/>
        <w:t xml:space="preserve">E. ON THE REQUEST FOR INTERIM MEASURES  </w:t>
        <w:br/>
        <w:t xml:space="preserve">84. Article L. 464-1 of the Commercial Code states that "the Competition Authority may, at the request of the Minister responsible for the economy, the persons mentioned in the last paragraph of Article L. 462-1 or the companies, and after hearing the parties concerned and the Government Commissioner, take the interim measures requested or those that appear necessary. These measures may only be taken if the practice denounced causes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  </w:t>
        <w:br/>
        <w:t xml:space="preserve">85. To determine whether the practices described above allow for the imposition of interim measures, it is necessary to assess the serious and immediate nature of the harm caused to the general economy, to the sector concerned, to the interest of consumers, or to the complaining company, the conditions of seriousness and immediacy being cumulative.  </w:t>
        <w:br/>
        <w:t xml:space="preserve">86. The seriousness and immediacy of the harm caused to at least one of the protected interests (complaining company, sector concerned, general economy, and consumers) justifies the imposition of an interim measure if there is a causal link between the reported facts and the serious and immediate harm observed.  </w:t>
        <w:br/>
        <w:t xml:space="preserve">1. ON THE SERIOUS HARM TO THE COMPLAINING COMPANY  </w:t>
        <w:br/>
        <w:t xml:space="preserve">87. The alleged harm to the interests of the complainant must be the direct and certain consequence of the practices in question.  </w:t>
        <w:br/>
        <w:t xml:space="preserve">88. Serious harm may particularly result from cases in which "one or more companies could be excluded from the market, disappear before the end of the substantive procedure, or see their chances of development seriously compromised." Interim measures may also be justified in cases where the complaining company suffers a massive decline in its turnover, a circumstance that significantly jeopardizes its activity. Conversely, the finding of "a simple loss of earnings is insufficient on its own to characterize the serious and immediate harm required for the granting of interim measures."  </w:t>
        <w:br/>
        <w:t>89. In this case, Plüm claims to suffer direct harm as a result of these practices, indicating that they "will irreparably handicap [its] economic prospects [...] and [its] chances of becoming a true competitor in the market."</w:t>
      </w:r>
    </w:p>
    <w:p>
      <w:r>
        <w:rPr>
          <w:b/>
        </w:rPr>
        <w:t>[Pages 19–21]</w:t>
      </w:r>
    </w:p>
    <w:p>
      <w:r>
        <w:t xml:space="preserve">the complainant explains that the practices denounced allow EDF to gain a significant number of customers, who will moreover be difficult to win back within a reasonable timeframe due to the duration of contract conclusion (which Plüm estimates to be around three years). Plüm argues that it is thereby deprived of its ability to reach the critical size necessary to remain an operator capable of energizing the market for electricity supply to non-residential customers and other related markets.  </w:t>
        <w:br/>
        <w:t xml:space="preserve">90. In particular, Plüm considers that EDF's pricing practices have forced it to sacrifice its margins to the maximum and take significant financial risks that could compromise its long-term financial viability and its presence in the market.  </w:t>
        <w:br/>
        <w:t xml:space="preserve">91. However, the elements submitted to the file do not allow, at this stage, to establish that the loss, by Plüm, of certain calls for tenders would be the direct and certain consequence of the prices practiced by EDF. It should indeed be noted that, for some of the calls for tenders mentioned in its referral, Plüm's offer was not ranked second among the candidates, behind EDF, so that it would not have been selected even if EDF had not submitted a bid. The investigation has therefore not established a sufficient causal link between the alleged practice and the harm to the complainant company.  </w:t>
        <w:br/>
        <w:t xml:space="preserve">92. Furthermore, the complainant company has not provided concrete evidence demonstrating that the reduction of its margins would jeopardize its short-term viability. On the contrary, it should be noted that in 2020, Plüm continued to win calls for tenders against EDF, representing large volumes, even since the introduction of its referral, and that its success rate compared to 2019 remained stable, or even slightly increased.  </w:t>
        <w:br/>
        <w:t xml:space="preserve">93. Therefore, the elements in the file do not demonstrate that Plüm is currently in a critical situation jeopardizing its survival in the market. They simply reveal that Plüm could suffer a loss of earnings due to the reduction of its margins or if it were to incur new costs, particularly related to energy savings certificates in the event of exceeding the "CEE" exemption threshold (currently set at 400 GWh contracted). A risk of short-term eviction, which would constitute a serious harm to its interests, is therefore not demonstrated.  </w:t>
        <w:br/>
        <w:t xml:space="preserve">2. ON THE SERIOUS HARM TO THE GENERAL ECONOMY, TO THE RELEVANT SECTOR, AND TO THE INTERESTS OF COMPETITORS AND CONSUMERS  </w:t>
        <w:br/>
        <w:t xml:space="preserve">94. According to Plüm, "the predatory practices of EDF, which occur just before the removal of tariffs for non-residential customers on January 1, 2021, create a powerful eviction effect for alternative suppliers during a particularly sensitive period during which the market risks being structurally organized in its current configuration, causing serious and immediate harm to the general economy, to the sector, and consequently to the interests of electricity consumers."  </w:t>
        <w:br/>
        <w:t xml:space="preserve">95. The complainant emphasizes that, in contrast to the C5 sites of individual customers which are inherently difficult to identify and capture, the calls for tenders issued by local authorities for their C5 sites represent a unique opportunity for alternative suppliers to quickly enter the market by reaching the necessary critical mass.  </w:t>
        <w:br/>
        <w:t xml:space="preserve">96. More generally, Plüm also argues that the practices denounced allow EDF to "forge a reputation for aggressiveness, to prevent the entry of competitors into future or related markets where it could be challenged."  </w:t>
        <w:br/>
        <w:t xml:space="preserve">97. However, it has been demonstrated above that the risk of short-term eviction of a small operator like Plüm is not established. This risk is not further established for larger operators in the market, such as Engie and Total Direct Énergie. These suppliers are the main competitors of EDF in the relevant market and benefit from a significant critical mass allowing them to align themselves occasionally with low prices and thus not be evicted in the short term.  </w:t>
        <w:br/>
        <w:t xml:space="preserve">98. Furthermore, the contracts in question are concluded for a duration of two to three years and approximately one-third of the volumes are thus put back into play each year, based on competition that operates almost exclusively through prices, particularly concerning public calls for tenders.  </w:t>
        <w:br/>
        <w:t xml:space="preserve">99. It follows from the above that, at this stage, there are no elements to demonstrate that competitors would be likely to be evicted in the short term from the relevant market taken as a whole. No serious harm to the general economy, to the sector, or to the interests of consumers is therefore established at this time.  </w:t>
        <w:br/>
        <w:t xml:space="preserve">3. CONCLUSION  </w:t>
        <w:br/>
        <w:t>100. It follows from the above that the condition relating to the seriousness of the harm is not met in this case. Consequently, without the need to verify whether the condition relating to the immediacy of the harm is met, it is appropriate to reject the request for interim measures submitted by Plüm.</w:t>
      </w:r>
    </w:p>
    <w:p>
      <w:r>
        <w:t xml:space="preserve">DECISION  </w:t>
        <w:br/>
        <w:t xml:space="preserve">Article 1: The investigation on the merits of the referral registered under number 20/0088 F shall continue.  </w:t>
        <w:br/>
        <w:t xml:space="preserve">Article 2: The request for interim measures registered under number 20/0089 M is rejected.  </w:t>
        <w:br/>
        <w:t xml:space="preserve">Deliberated on the oral report of Ms. Juliette Ogez, rapporteur, and the intervention of Mr. Umberto Berkani, deputy general rapporteur, by Ms. Irène Luc, vice-president, chair of the session, Ms. Catherine Prieto, Mr. Savinien Grignon-Dumoulin, and Mr. Jérôme Pouyet, members.  </w:t>
        <w:br/>
        <w:t xml:space="preserve">The session secretary, The session chair,  </w:t>
        <w:br/>
        <w:t xml:space="preserve">Armelle Hillion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