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https://www.autoritedelaconcurrence.fr/fr/decision/relative-une-demande-de-mesures-conservatoires-presentee-par-la-societe-seafrance</w:t>
      </w:r>
    </w:p>
    <w:p>
      <w:r>
        <w:t>Pages translated : 7</w:t>
      </w:r>
    </w:p>
    <w:p/>
    <w:p>
      <w:r>
        <w:rPr>
          <w:b/>
        </w:rPr>
        <w:t>[Pages 1–3]</w:t>
      </w:r>
    </w:p>
    <w:p>
      <w:r>
        <w:t>COUNCIL OF COMPETITION</w:t>
        <w:br/>
        <w:t>Decision No. 98-MC-06 of July 1, 1998</w:t>
        <w:br/>
        <w:t>regarding a request for interim measures submitted by the company SeaFrance</w:t>
        <w:br/>
        <w:t>The Council of Competition (permanent commission),</w:t>
        <w:br/>
        <w:t>Considering the letters registered on December 23, 1996, and May 11, 1998, under numbers F 930 and M 214, by which the company SeaFrance referred to the Council of Competition practices of the companies P&amp;O European Ferries and Stena Line and P&amp;O Stena Line, which it considers anti-competitive, and requested the issuance of interim measures;</w:t>
        <w:br/>
        <w:t>Considering Ordinance No. 86-1243 of December 1, 1986, as amended, relating to price freedom and competition and Decree No. 86-1309 of December 29, 1986, as amended, taken for its application;</w:t>
        <w:br/>
        <w:t>Considering the observations presented by the Government Commissioner, by the company P&amp;O European Ferries, by the company Stena Line, and by the company P&amp;O Stena Line;</w:t>
        <w:br/>
        <w:t>Considering the other documents in the file;</w:t>
        <w:br/>
        <w:t>The rapporteur, the general rapporteur, the Government Commissioner, the representatives of the companies SeaFrance, P&amp;O European Ferries, Stena Line, and P&amp;O Stena Line heard;</w:t>
        <w:br/>
        <w:t>On the substantive referral,</w:t>
        <w:br/>
        <w:t>Considering that the companies P&amp;O European Ferries (hereinafter P&amp;O) and Stena Line decided to create a joint venture named P&amp;O Stena Line for the operation of maritime crossings between Calais and Dover, using six mixed ferries (passengers and tourist vehicles and freight vehicles), Dieppe and Newhaven, using one mixed ferry and a fast boat, and Dover and Zeebrugge, using three freighters, and that they notably submitted their project to the assessment of the French, British, and community authorities; that thus, the project was submitted to the French minister in charge of the economy by a notification dated November 5, 1996, and that he, having referred the matter to the Council of Competition for advice, had, pursuant to the provisions of Article 40 of the ordinance of December 1, 1986, a period of six months to communicate his position on the proposed operation; that until the expiration of this period, which occurred on May 5, 1997, the minister remained silent and subsequently specified to the parties, by letter dated May 30, 1997: "I note that, given the circumstances of the case, the Council of Competition that I referred for advice, considered that this joint venture did not fall within the scope of Article 39 of the ordinance of December 1, 1986. I want to tell you that this analysis, in this particular case, does not mean that structural joint ventures do not fall under the provisions of Title V of the ordinance," while specifying that his "vigilance will particularly focus on the following points: - that the new entity does not benefit from the combined notoriety of the two parent companies; - that the organization of physical and time slots does not occur to the detriment of competitors; - that the operation does not lead to coordination of behavior with the parent companies' lines in adjacent markets; - that the operation does not also lead to coordination of behavior with Eurotunnel, likely to result in a price increase"; that the British authorities authorized this operation on February 27, 1998, after investigation by the Monopolies and Mergers Commission; that the European Commission published, on February 6, 1998, a communication indicating that it was considering "making a decision declaring that the parties' project to create a joint venture is contrary to Article 85, paragraph 1, of the treaty but that it may be subject to an exemption under Article 85, paragraph 3"; that the joint venture commenced operations on March 10, 1998;</w:t>
        <w:br/>
        <w:t>Considering that the company SeaFrance argues, firstly, that the companies P&amp;O and Stena Line show a willingness to divide "the bulk of the cross-Channel ferry transport market" by maintaining "competition between themselves on the ferry lines where they each operate individually (in the Irish Sea, North Sea, on the Scottish lines and the lines crossing the Western Channel area) and to associate on the Calais-Dover, Newhaven-Dieppe, and Dover-Zeebrugge lines"; that they seek to "neutralize (with respect to Eurotunnel) and even [to] eliminate (with respect to the... other less significant competitors) the effective competition that remains in this market"; that "the rapprochement with Stena (...) closely resembles a takeover... Stena simultaneously abandoning the Cherbourg line (...) and thus withdrawing from the cross-Channel market"; that finally the joint venture will not hold "real autonomy" and that, on the other hand, the parent companies will not "definitively abandon any intervention in the reference market, individually or through their joint subsidiary"; that it further argues that the situation will be characterized by the existence of either a quasi-monopoly at sea or a duopoly between the joint structure and the company Eurotunnel, that this situation is conducive to abuses of dominant position that may manifest as artificial price increases or predatory pricing practices and that "in the face of this absolute control of tariffs, the few small competitors that remain, including the company SeaFrance, will no longer be able to have an independent policy; they will find themselves in a situation of total economic dependence"; that it emphasizes, moreover, that "the combined advertising budget of P&amp;O Stena will be very significant. Given the concentration of these budgets on common objectives and campaigns, the economic power of the P&amp;O Stena company, with the induced effects of the separate notoriety of the two companies for the lines they continue to operate separately in other sectors (Western Channel, Irish Sea, North Sea) cannot fail to have significant repercussions on the maintenance or access to the market of other competitors"; that finally, "As soon as the agreement... is operational, it will offer a very high departure frequency... a new operator would need to immediately align a fleet of 3 or perhaps 4 ships to be commercially credible, which would therefore require a very significant investment with a very high commercial and financial risk. In practice, from the creation of the P&amp;O/Stena Line agreement, the market will no longer allow the entry of a new competitor"; that, in its request for interim measures, it emphasizes that the situation is all the more critical as the number of competitors is decreasing, the company Sally Line, which was present on the Dunkirk - Ramsgate line, having since withdrawn from the market; that therefore, only the companies P&amp;O Stena Line, SeaFrance, and Hoverspeed remain active in the Pas-de-Calais;</w:t>
        <w:br/>
        <w:t>Considering that the company SeaFrance states, secondly, that since the commencement of operations of the company P&amp;O Stena Line, it has observed, on the one hand, "a vast cooperation between the three entities going well beyond the notified agreement," which is manifested in the brochures of the company P&amp;O and in those of the company P&amp;O Stena Line; that indeed, an English brochure published by the company P&amp;O under the title "P&amp;O Ferries 98" specifically presents the services marketed by the joint subsidiary, indicating the schedules and the rates applied; that the French brochures published by the company P&amp;O Stena Line present, in addition to its own services, those provided by the company Stena Line, whether in the North Sea or in the Scandinavian countries or within the framework of combined rates for successive crossings of the English Channel, on the ferries of the joint subsidiary, and of the Irish Sea, on the vessels of Stena Line; that one of these brochures, entitled "Schedules and Rates '98", also lists, on the last page, in addition to the lines operated by the joint enterprise, those operated by Stena Line, P&amp;O European Ferries, and P&amp;O North Sea Ferries, under the heading "other lines - Great Britain" (with telephone contact details specified); that finally, the brochure entitled "Great Britain and Ireland '98 - stays" presents "a wide choice of lines," that is to say all those operated by P&amp;O Stena Line (Calais-Dover and Dieppe-Newhaven), P&amp;O European Ferries (Le Havre or Cherbourg - Portsmouth), P&amp;O North Sea Ferries (Rotterdam or Zeebrugge - Hull), Stena Line (maritime crossings to Ireland and Scandinavian lines) and P&amp;O Scottish Ferries (the islands north of Scotland); that the rates published for the crossing and the stay refer, for certain supplements, to the brochure of the company P&amp;O; that the company SeaFrance argues that the rates listed in these brochures were "developed jointly" by the parent companies and their joint subsidiary and therefore concludes to the existence "of a common commercial policy, of multiple cooperation between the three companies and of the undeniable fact that the independence of the joint company from its parents proves to be non-existent, contrary to the clear commitments of P&amp;O and Stena Line to make their joint venture an autonomous and independent company," the fact that the company P&amp;O North Sea Ferries, a subsidiary of the company P&amp;O, is designated as "general reservation agent" of the company P&amp;O Stena Line being, according to it, likely to reinforce these ties; that it has also produced observations in which it emphasizes the "pressure power that the parent companies will have over business clients (road hauliers, coach operators, tour operators...) in the context of negotiations for unpublished rates" by arguing "that each parent company will nuance the rates granted to clients on its own lines... depending on whether or not the client uses the services of their joint company P&amp;O Stena Line on Calais-Dover rather than those of SeaFrance" and particularly denounces the refusal by the companies involved to return commercial premises in Dover when they had committed to do so; that, on the other hand, if the joint venture project, submitted to the various authorities, specified that the fleet intended for the operation of the Calais-Dover line was to consist of six mixed ferries (Pride of Calais, Pride of Dover, Pride of Burgundy, Pride of Kent, Empereur, and Fantasia), in order to reduce existing overcapacities and to rationalize the operation of the line, a seventh ferry (Pride of Bruges) was put into service as early as April 5, 1998; that it argues that the commissioning of this additional ferry, without restructuring the departure schedule, "can only be justified by the desire to capture additional traffic," given that traffic is down compared to the previous year and that "The number of ships put into service accentuates the leverage effect created by frequency"; that it argues that the creation of the agreement between the companies P&amp;O and Stena Line, the cooperation between the company P&amp;O Stena Line and its parent companies regarding advertising brochures, and the commissioning of an additional ferry on the Calais-Dover line fall under the provisions of Articles 7 and 8 of the ordinance of December 1, 1986;</w:t>
        <w:br/>
        <w:t>Considering, firstly, that the companies P&amp;O, Stena Line, and P&amp;O Stena Line argue that the referral made by the company SeaFrance on December 18, 1996, "only aimed to see the joint venture project prohibited," that this project was notified to the minister in charge of the economy in accordance with the provisions of Article 40 of the ordinance of December 1, 1986, that "on May 5, 1997, the tacit agreement of the Minister to the project</w:t>
      </w:r>
    </w:p>
    <w:p>
      <w:r>
        <w:rPr>
          <w:b/>
        </w:rPr>
        <w:t>[Pages 4–6]</w:t>
      </w:r>
    </w:p>
    <w:p>
      <w:r>
        <w:t>conséquence, la diffusion des brochures en question ne saurait être qualifiée d’illégale ou de déloyale ; que, dès lors, la demande de mesures conservatoires formulée par la société SeaFrance ne peut être accueillie ;</w:t>
      </w:r>
    </w:p>
    <w:p>
      <w:r>
        <w:t>Considérant, en conclusion, que la saisine présentée par la société SeaFrance est partiellement irrecevable et que, pour le surplus, la demande de mesures conservatoires est rejetée ;</w:t>
      </w:r>
    </w:p>
    <w:p>
      <w:r>
        <w:t>Décide :</w:t>
      </w:r>
    </w:p>
    <w:p>
      <w:r>
        <w:t>Article 1 : La saisine présentée par la société SeaFrance est déclarée partiellement irrecevable.</w:t>
      </w:r>
    </w:p>
    <w:p>
      <w:r>
        <w:t>Article 2 : La demande de mesures conservatoires formulée par la société SeaFrance est rejetée.</w:t>
      </w:r>
    </w:p>
    <w:p>
      <w:r>
        <w:t>Article 3 : La présente décision sera notifiée aux parties et publiée au Journal officiel.</w:t>
      </w:r>
    </w:p>
    <w:p>
      <w:r>
        <w:rPr>
          <w:b/>
        </w:rPr>
        <w:t>[Pages 7–7]</w:t>
      </w:r>
    </w:p>
    <w:p>
      <w:r>
        <w:t>only the brochures published by the company P&amp;O Stena Line are concerned, the company Stena Line does not distribute brochures in France and those of the company P&amp;O do not contain information relating to the company Stena Line and the company P&amp;O Stena Line; finally, the company SeaFrance does not provide any evidence regarding the damage it would suffer due to the circulation of the brochures in question;</w:t>
      </w:r>
    </w:p>
    <w:p>
      <w:r>
        <w:t>Considering that it follows from all of the above that the company SeaFrance does not provide any evidence to establish that the practices denounced would cause serious and immediate harm to its interests, to the overall economy, to that of the concerned sector, or to the interest of consumers; consequently, the request for interim measures must be rejected,</w:t>
      </w:r>
    </w:p>
    <w:p>
      <w:r>
        <w:t>Decides:</w:t>
        <w:br/>
        <w:t>Single Article - The request for interim measures recorded under number M 214 is rejected.</w:t>
        <w:br/>
        <w:t>Deliberated, on the report of Mr. Patrick Véglis, by Mr. Barbeau, president, Messrs.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