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https://www.autoritedelaconcurrence.fr/fr/decision/relative-une-demande-de-mesures-conservatoires-presentee-par-la-societe-semavem</w:t>
      </w:r>
    </w:p>
    <w:p>
      <w:r>
        <w:t>Pages translated : 2</w:t>
      </w:r>
    </w:p>
    <w:p/>
    <w:p>
      <w:r>
        <w:rPr>
          <w:b/>
        </w:rPr>
        <w:t>[Pages 1–2]</w:t>
      </w:r>
    </w:p>
    <w:p>
      <w:r>
        <w:t xml:space="preserve">FRENCH REPUBLIC  </w:t>
        <w:br/>
        <w:t xml:space="preserve">Decision No. 90-MC-04 of March 14, 1990  </w:t>
        <w:br/>
        <w:t xml:space="preserve">concerning a request for interim measures submitted by the company Semavem  </w:t>
        <w:br/>
        <w:t xml:space="preserve">The Competition Council,  </w:t>
        <w:br/>
        <w:t xml:space="preserve">Having regard to the letter registered on February 12, 1990, under number F 306 (C 389), by which the company Semavem referred to the Competition Council practices implemented by the company Sony France that it considers anti-competitive, and the letter registered under number M 66 by which the company Semavem requests the pronouncement of interim measures pursuant to the provisions of Article 12 of Ordinance No. 86-1243 of December 1, 1986;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of the company Semavem, the company Sony France, and the Government Commissioner;  </w:t>
        <w:br/>
        <w:t xml:space="preserve">Having regard to the other documents in the file;  </w:t>
        <w:br/>
        <w:t xml:space="preserve">The rapporteur, the general rapporteur, the Government Commissioner, and the parties heard;  </w:t>
        <w:br/>
        <w:t xml:space="preserve">Considering that Semavem primarily requests that the council order the modification of the general sales conditions applied to it by Sony France; that the company Semavem, which has not purchased any Sony products since October 15, 1989, believes that these conditions have the effect of putting it out of the market;  </w:t>
        <w:br/>
        <w:t xml:space="preserve">Considering, on the one hand, that even assuming that the relations between Semavem and Sony France could be regarded as potentially affecting competition in a market within the meaning of Title III of the Ordinance of December 1, 1986, the cessation of commercial relations between Semavem and Sony France is not the direct consequence of the nature of the Sony sales conditions of which Semavem complains in its referral but follows the intervention of a ruling by the Grenoble Court of Appeal dated September 5, 1989, by which the court declared the effects of the transaction that occurred in 1984 between the parties to be exhausted, and a judgment of the Commercial Court of Romans dated February 7, 1990, which terminated the derogatory conditions (10 + 10 percent discount) that Semavem had previously benefited from with Sony; that the request of Semavem to modify the sales conditions resulting from the application of these court decisions cannot be accepted by the council;  </w:t>
        <w:br/>
        <w:t>Considering, on the other hand, that Semavem provides no evidence to establish the existence of a direct link between the general sales conditions of Sony France and a potential serious and immediate harm to the operation of the business;</w:t>
      </w:r>
    </w:p>
    <w:p>
      <w:r>
        <w:t xml:space="preserve">Considering that Semavem also requests, in the alternative, that it be applied the more favorable regime granted by Sony France to certain resellers; that, on the one hand, it wishes to benefit from an adjustment of the contract concluded between Sony and C.A.M.I.F.; that, while the company Semavem intends to engage in distance selling, it is established that this activity is not yet effective; that due to the nature of interim measures, as defined by Article 12 of the Ordinance, the council cannot, through this legal avenue, impose on a producer to establish new legal relations with a distributor with whom it is already in commercial relations concerning an activity that this distributor does not yet carry out; that, if Semavem claims, on the other hand, that it should benefit from the conditions granted to certain merchants that it refers to as "the Parisian resellers" or to Coprofem, the applicant cannot, under the interim measures, obtain the benefit of specific contractual conditions linked to the existence of particular services rendered to customers;  </w:t>
        <w:br/>
        <w:t xml:space="preserve">Considering that Semavem also requests, as a subsidiary measure, that all specific regimes granted to other resellers by Sony be abolished; that assuming the council recognizes its competence to rule on such practices, it appears from the file that the applicant company refused to provide the services set by Sony for the benefit of these advantages, which essentially consist of demonstration and after-sales services; that Sony therefore refused to contract with Semavem on the bases required by the latter; that under these conditions, the decrease in activity due to the cessation of relations with Sony cannot be considered as resulting directly from practices of Sony that could be targeted by the provisions of Articles 7 and 8 of the Ordinance of December 1, 1986;  </w:t>
        <w:br/>
        <w:t xml:space="preserve">Considering that it follows from all of the above that the request for interim measures submitted by the company Semavem can only be rejected,  </w:t>
        <w:br/>
        <w:t xml:space="preserve">Decides:  </w:t>
        <w:br/>
        <w:t xml:space="preserve">The request for interim measures registered under number M 66 is rejected.  </w:t>
        <w:br/>
        <w:t xml:space="preserve">Deliberated in permanent commission on the oral report of Mrs. Calire Jeangirard-Duifal, where sat:  </w:t>
        <w:br/>
        <w:t xml:space="preserve">Messrs. Laurent, president,  </w:t>
        <w:br/>
        <w:t xml:space="preserve">Béteille and Pineau, vice-presidents.  </w:t>
        <w:br/>
        <w:t xml:space="preserve">The general rapporteur, The president,  </w:t>
        <w:br/>
        <w:t xml:space="preserve">F. Jenny P. Laurent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