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https://www.autoritedelaconcurrence.fr/fr/decision/relative-une-demande-de-mesures-conservatoires-presentee-par-le-conseil-national-des</w:t>
      </w:r>
    </w:p>
    <w:p>
      <w:r>
        <w:t>Pages translated : 3</w:t>
      </w:r>
    </w:p>
    <w:p/>
    <w:p>
      <w:r>
        <w:rPr>
          <w:b/>
        </w:rPr>
        <w:t>[Pages 1–3]</w:t>
      </w:r>
    </w:p>
    <w:p>
      <w:r>
        <w:t>COMPETITION COUNCIL</w:t>
        <w:br/>
        <w:t>Decision No. 00-MC-03 of March 21, 2000</w:t>
        <w:br/>
        <w:t>regarding a request for interim measures submitted</w:t>
        <w:br/>
        <w:t>by the National Council of Automotive Professionals (CNPA)</w:t>
        <w:br/>
        <w:t>The Competition Council (permanent commission),</w:t>
        <w:br/>
        <w:t>Having regard to the letter registered on January 18, 1999 under numbers F 1115 and M 236, by which the National Council of Automotive Professionals (CNPA) referred to the Competition Council practices implemented by the Banking Card Group that it considers anti-competitive, and requested the issuance of interim measures;</w:t>
        <w:br/>
        <w:t>Having regard to Ordinance No. 86-1243 of December 1, 1986, as amended, relating to the freedom of prices and competition and Decree No. 86-1309 of December 29, 1986, as amended, taken for its application;</w:t>
        <w:br/>
        <w:t>Having regard to Decision No. 99-D-21 of March 10, 1999, by which the Council considered the CNPA's referral inadmissible;</w:t>
        <w:br/>
        <w:t>Having regard to the judgment of the Paris Court of Appeal dated November 25, 1999;</w:t>
        <w:br/>
        <w:t>Having regard to the observations presented by the CNPA, the Banking Card Group, and the Government Commissioner;</w:t>
        <w:br/>
        <w:t>Having regard to the opinion of the Banking Commission of February 9, 2000, sent to the Competition Council by letter registered on February 14, 2000;</w:t>
        <w:br/>
        <w:t>The rapporteur, the deputy rapporteur general, the Government Commissioner, the representatives of the CNPA and the Banking Card Group heard during the session of March 7, 2000;</w:t>
        <w:br/>
        <w:t>After deliberating in the absence of the rapporteur and the deputy rapporteur general;</w:t>
        <w:br/>
        <w:t>Considering that the CNPA, a professional union that brings together fuel retailers, whether they are tenant-managers of service stations owned by oil companies or owners of these service stations, with the exception of large and medium-sized stores, states that it was informed by the Economic Interest Group of Banking Cards (CB), by letter dated September 25, 1998, of the decision made by the members of this group "to equip their customers with CB payment cards, through a new category of cards, called 'systematic authorization cards', these being 'intended for customers who wish to precisely control the amount of their expenses'; that,</w:t>
      </w:r>
    </w:p>
    <w:p>
      <w:r>
        <w:t>denouncing the obligation thus imposed on its members to accept this new type of card despite the specific difficulties faced by fuel retailers and the additional charges incurred, both by the increase in commissions collected by banks, given the increase in transactions requiring authorization requests, and by the fact that the use of these cards involves a systematic control phone call, the CNPA referred the matter to the Competition Council on the basis of Articles 7 and 8 of Ordinance No. 86-1243 of December 1, 1986, and requested the issuance of interim measures; that, by Decision No. 99-D-21 of March 10, 1999, the Council declared this referral inadmissible;</w:t>
        <w:br/>
        <w:t>Considering that, by a judgment of November 25, 1999, the Paris Court of Appeal annulled the aforementioned decision, declared the referral of the National Council of Automotive Professionals admissible, and referred the matter for investigation before the Competition Council, so that it could assess whether the necessary conditions for the adoption of interim measures were met; that it held, in particular, on the one hand, that it was not seriously contestable that the Banking Card Group holds a dominant position in the national market for cards fulfilling the dual function of payment instrument for purchases and cash withdrawal and, on the other hand, that it resulted from the elements submitted for its assessment that the fuel distribution sector presents a number of structural difficulties and specificities related, in particular, to the persistent weakness of the margin realized on fuel sales; that it deduced from this that the CNPA's assertion, according to which the obligation to accept systematic authorization cards is likely to increase the burdens on fuel retailers and thus affect the conditions of competition in the fuel distribution market, contributing to the exclusion of certain operators, could not be regarded as devoid of plausibility;</w:t>
        <w:br/>
        <w:t>Considering, with regard to the request for interim measures made by the applicant, that while it mentions the economic difficulties of a number of fuel retailers, particularly those facing direct competition from large stores, and the increase in their financial burdens induced by the spread of systematic authorization cards, it does not provide any specific elements to demonstrate a serious and immediate harm to the fuel distribution sector; that in particular, while the number of cards in circulation has increased from less than 13,000 at the time of the referral to approximately 1.2 million at the date of the session, the CNPA does not produce any quantitative indication capable of establishing the serious deterioration of the situation of fuel retailers that would have been caused by the issuance of systematic authorization cards; that the CNPA has, moreover, acknowledged in the session that it was unable to produce complementary elements of this nature in support of its referral;</w:t>
        <w:br/>
        <w:t>Considering, consequently, that the request for interim measures can only be rejected,</w:t>
        <w:br/>
        <w:t>Decides:</w:t>
        <w:br/>
        <w:t>Article 1: The request for interim measures registered under number M 250 is rejected.</w:t>
        <w:br/>
        <w:t>Deliberated, on the oral report of Ms. Chaulet-Philippe, by Ms. Hagelsteen, President, Ms. Pasturel and Mr. Cortesse, Vice-Presidents.</w:t>
      </w:r>
    </w:p>
    <w:p>
      <w:r>
        <w:t>The Secretary of the Session, The President,</w:t>
        <w:br/>
        <w:t>Sylvie Grando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