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https://www.autoritedelaconcurrence.fr/fr/decision/relative-une-demande-de-mesures-conservatoires-presentee-par-me-jean-yves-sellier</w:t>
      </w:r>
    </w:p>
    <w:p>
      <w:r>
        <w:t>Pages translated : 2</w:t>
      </w:r>
    </w:p>
    <w:p/>
    <w:p>
      <w:r>
        <w:rPr>
          <w:b/>
        </w:rPr>
        <w:t>[Pages 1–2]</w:t>
      </w:r>
    </w:p>
    <w:p>
      <w:r>
        <w:t xml:space="preserve">FRENCH REPUBLIC  </w:t>
        <w:br/>
        <w:t xml:space="preserve">Decision No. 94-MC-11 of October 5, 1994  </w:t>
        <w:br/>
        <w:t xml:space="preserve">regarding a request for interim measures  </w:t>
        <w:br/>
        <w:t xml:space="preserve">submitted by Mr. Jean-Yves Sellier  </w:t>
        <w:br/>
        <w:t xml:space="preserve">The Competition Council (permanent commission),  </w:t>
        <w:br/>
        <w:t xml:space="preserve">Having regard to the letter registered on September 2, 1994, under numbers F 696 and M 133, by which Mr. Jean-Yves Sellier, notary in Charolles, referred certain practices of the company Crédit Agricole du Sud-Est to the Competition Council and requested the issuance of interim measures;  </w:t>
        <w:br/>
        <w:t xml:space="preserve">Having regard to Ordinance No. 86-1243 of December 1, 1986, as amended, relating to the freedom of prices and competition, and Decree No. 86-1309 of September 29, 1986, as amended, adopted for its application;  </w:t>
        <w:br/>
        <w:t xml:space="preserve">Having regard to the observations presented by Mr. Jean-Yves Sellier, the representative of Crédit Agricole du Sud-Est, and by the Government Commissioner;  </w:t>
        <w:br/>
        <w:t xml:space="preserve">Having regard to the other documents in the file;  </w:t>
        <w:br/>
        <w:t xml:space="preserve">The rapporteur, the general rapporteur, the Government Commissioner, Mr. Jean-Yves Sellier, and the representative of Crédit Agricole du Sud-Est heard;  </w:t>
        <w:br/>
        <w:t xml:space="preserve">Considering that, by letter of September 2, 1994, Mr. Jean-Yves Sellier, notary in Charolles, referred to the Competition Council the refusal of Crédit Agricole du Sud-Est to grant him a cash loan, based on the fact that the accounts of the office did not meet the criteria set by the notarial association of guarantee nor certain financial conditions;  </w:t>
        <w:br/>
        <w:t xml:space="preserve">Considering that the referring party argues that this refusal would constitute an unlawful agreement between Crédit Agricole du Sud-Est and the ordinal institutions of the notariat, an abuse of the dominant position that Crédit Agricole du Sud-Est would hold due to a regulatory monopoly, and a refusal to sell a service;  </w:t>
        <w:br/>
        <w:t xml:space="preserve">Considering that Mr. Sellier further requests the Competition Council to take interim measures based on the provisions of Article 12 of the ordinance of December 1, 1986, by intervening with the president of the High Court of Mâcon so that he refers 'sine die' the disciplinary summary proceedings initiated by the public prosecutor aimed at the suspension of his office; that in the session he requested 'a freeze on the transfer price, of the balance of the installation loan still owed to Crédit Agricole du Sud-Est, namely: 643,370.47 F';  </w:t>
        <w:br/>
        <w:t xml:space="preserve">Considering that the application of the provisions of Article 12 of the ordinance of December 1, 1986 is subject to the establishment of indices or behaviors likely to be related to the practices referred to in Articles 7 and 8; that under Article 19 of the same ordinance: 'The Competition Council may declare, by reasoned decision, the referral inadmissible if it considers that the facts invoked do not fall within the scope of its jurisdiction or are not supported by sufficiently probative elements';  </w:t>
        <w:br/>
        <w:t xml:space="preserve">Considering, on the one hand, that financial institutions have the discretion to accept or refuse the granting of a loan to a business; that on this occasion, they are free to obtain information on the solvency of their clients; that the Competition Council does not have jurisdiction to assess the conditions under which possible refusals occur;  </w:t>
        <w:br/>
        <w:t xml:space="preserve">Considering, on the other hand, that no element in the file corroborates the allegation that the refusal to grant a loan to Mr. Sellier results from an anti-competitive agreement prohibited by Article 7 of the ordinance between Crédit Agricole du Sud-Est, the notarial association of guarantee, and the ordinal institutions of the notariat;  </w:t>
        <w:br/>
        <w:t xml:space="preserve">Considering that even assuming that Crédit Agricole du Sud-Est holds, as alleged, a dominant position in the market for loans to notarial offices, the referring party provides no probative element capable of establishing the existence of practices likely to constitute an abusive exploitation of this dominant position;  </w:t>
        <w:br/>
        <w:t xml:space="preserve">Considering, moreover, that any potential disputes between the referring party and Crédit Agricole du Sud-Est or the ordinal institutions of the notariat fall solely within the jurisdiction of the judicial judge;  </w:t>
        <w:br/>
        <w:t xml:space="preserve">Considering that it follows from the above that the substantive referral is inadmissible and that, consequently, the request for interim measures must be rejected,  </w:t>
        <w:br/>
        <w:t xml:space="preserve">Decides:  </w:t>
        <w:br/>
        <w:t xml:space="preserve">Art. 1. - The referral registered under number F 696 is declared inadmissible.  </w:t>
        <w:br/>
        <w:t xml:space="preserve">Art. 2. - The request for interim measures registered under number M 133 is rejected.  </w:t>
        <w:br/>
        <w:t xml:space="preserve">Deliberated on the oral report of Mr. François Vaissette, by Mr. Barbeau, president, Messrs. Jenny and Cortesse, vice-presidents.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