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https://www.autoritedelaconcurrence.fr/fr/decision/relative-une-demande-de-mesures-conservatoires-presentee-par-plusieurs-distributeurs-des</w:t>
      </w:r>
    </w:p>
    <w:p>
      <w:r>
        <w:t>Pages translated : 2</w:t>
      </w:r>
    </w:p>
    <w:p/>
    <w:p>
      <w:r>
        <w:rPr>
          <w:b/>
        </w:rPr>
        <w:t>[Pages 1–2]</w:t>
      </w:r>
    </w:p>
    <w:p>
      <w:r>
        <w:t xml:space="preserve">FRENCH REPUBLIC  </w:t>
        <w:br/>
        <w:t xml:space="preserve">Decision No. 96-MC-09 of November 20, 1996  </w:t>
        <w:br/>
        <w:t xml:space="preserve">regarding a request for interim measures  </w:t>
        <w:br/>
        <w:t xml:space="preserve">submitted by several distributors of JCB equipment  </w:t>
        <w:br/>
        <w:t xml:space="preserve">The Competition Council (standing committee),  </w:t>
        <w:br/>
        <w:t xml:space="preserve">Having regard to the letter registered on September 24, 1996, under numbers F 904 and M 188, by which the companies Pinault équipement, Godard matériel, CMTP, Philippe MTP, Laumond Socomat, Colomat, Solomat, Vema, Toufflin, SEM Cedima, Kleber Malecot, and Gérard Carcau have referred to the Competition Council practices they consider anti-competitive implemented by the companies JCB S.A., JCB Service, and JCB Manutention;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companies JCB S.A., JCB Manutention, and JCB Service and by the Government Commissioner;  </w:t>
        <w:br/>
        <w:t xml:space="preserve">Having regard to the other documents in the file;  </w:t>
        <w:br/>
        <w:t xml:space="preserve">The rapporteur, the general rapporteur, the Government Commissioner, and the representatives of the distributors of JCB equipment and the companies JCB S.A., JCB Service, and JCB Manutention heard;  </w:t>
        <w:br/>
        <w:t xml:space="preserve">Considering that several companies, dealers or former dealers of the companies JCB S.A., JCB Manutention, and JCB Service for the distribution of construction and handling equipment and, for some of them, agricultural equipment produced by the JCB group, consider themselves victims of practices prohibited by the provisions of Articles 7 and 8 of the ordinance of December 1, 1986;  </w:t>
        <w:br/>
        <w:t xml:space="preserve">Considering that the company JCB S.A., a French subsidiary of the English company J.C. Bamford Excavators Limited, has established a network of dealers for the distribution of JCB brand products in French territory; that, until 1995, the clauses of dealership contracts excluding agricultural equipment from the dealers' scope of activity and prohibiting them from selling products that are directly or indirectly competitive with those of JCB remained unenforced or were subject to express derogations; that after concluding an agreement with Renault Agriculture in November 1995, reserving to the dealers of the Renault Agriculture network the exclusivity of the distribution of JCB agricultural equipment in seventy-four metropolitan departments, the company JCB S.A. requested its dealers of construction and handling equipment to refrain from selling agricultural equipment; that it also requested them to devote themselves exclusively to the distribution of JCB brand products or to create a separate structure for the distribution of these products; that the referring companies argue that accepting the new contracts proposed by JCB S.A. would result in a significant loss of earnings for them, but that a refusal on their part would cause them to lose their status as JCB dealers, which would result in equally serious economic harm; that they assert that the JCB group, on the one hand, is abusing its dominant position in the French market by limiting, through its exclusive distribution system, the access opportunities of competing manufacturers to the market and, on the other hand, is abusing the state of dependence in which its product distributors find themselves, who cannot find an equivalent solution with other manufacturers given the investments already made for the promotion of JCB equipment; that the referring parties request the Competition Council, as interim measures, to order the companies JCB S.A., JCB Manutention, and JCB Service "to return to the previous state" by allowing "to offer to customers all equipment manufactured by JCB without distinction";  </w:t>
        <w:br/>
        <w:t xml:space="preserve">Considering that at the current stage of the procedure and subject to the examination of the case on its merits, it cannot be excluded that some of the practices denounced, in that they tend to limit competition, may fall within the scope of Title III of the ordinance of December 1, 1986;  </w:t>
        <w:br/>
        <w:t xml:space="preserve">Considering that under the provisions of Article 12 of the ordinance of December 1, 1986, interim measures "can only be taken if the practice denounced causes a serious and immediate harm to the general economy, to that of the concerned sector, to the interest of consumers, or to the complaining company";  </w:t>
        <w:br/>
        <w:t xml:space="preserve">Considering that while the referring companies complain about being unable to continue their activity under the same profitability conditions as before, they do not provide any evidence to support their request that the practices they denounce would constitute a serious and immediate threat to the general economy, that of the concerned sector, the interest of consumers, or their own interests justifying the issuance of emergency measures;  </w:t>
        <w:br/>
        <w:t xml:space="preserve">Considering that it is therefore appropriate to reject the request for interim measures;  </w:t>
        <w:br/>
        <w:t xml:space="preserve">Decides:  </w:t>
        <w:br/>
        <w:t xml:space="preserve">Sole Article.- The request for interim measures registered under number M 188 is rejected.  </w:t>
        <w:br/>
        <w:t xml:space="preserve">Deliberated, on the oral report of Mr. Alain Dupouy, by Mr. Barbeau, president, Mr. Cortesse and Mr.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