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https://www.autoritedelaconcurrence.fr/fr/decision/relative-une-demande-de-mesures-conservatoires-presentees-par-la-societe-kampexport</w:t>
      </w:r>
    </w:p>
    <w:p>
      <w:r>
        <w:t>Pages translated : 1</w:t>
      </w:r>
    </w:p>
    <w:p/>
    <w:p>
      <w:r>
        <w:rPr>
          <w:b/>
        </w:rPr>
        <w:t>[Pages 1–1]</w:t>
      </w:r>
    </w:p>
    <w:p>
      <w:r>
        <w:t xml:space="preserve">COUNCIL OF COMPETITION  </w:t>
        <w:br/>
        <w:t xml:space="preserve">Decision No. 01-MC-05 of August 27, 2001  </w:t>
        <w:br/>
        <w:t xml:space="preserve">regarding a request for interim measures  </w:t>
        <w:br/>
        <w:t xml:space="preserve">by the company Kampexport International concerning practices  </w:t>
        <w:br/>
        <w:t xml:space="preserve">implemented in the cauliflower market by Cérafel Bretagne  </w:t>
        <w:br/>
        <w:t xml:space="preserve">The President of the Council of Competition,  </w:t>
        <w:br/>
        <w:t xml:space="preserve">Having regard to the letter registered on July 10, 2001, under number M 285, by which the company Kampexport International referred to the Council of Competition the practices implemented by the Regional Agricultural Economic Committee for Fruits and Vegetables of Brittany (Cérafel) which it considers anti-competitive and requested the imposition of interim measures;  </w:t>
        <w:br/>
        <w:t xml:space="preserve">Having regard to Book IV of the Commercial Code relating to the freedom of prices and competition and Decree No. 86-1309 of December 29, 1986, as amended, adopted for the application of Ordinance No. 86-1243 of December 1, 1986;  </w:t>
        <w:br/>
        <w:t xml:space="preserve">Having regard to the letter from the limited liability company Kampexport International dated August 8, 2001;  </w:t>
        <w:br/>
        <w:t xml:space="preserve">Considering paragraph 3 of Article L. 462-8 of the Commercial Code, according to which: "it is acknowledged, by decision of the President of the Council of Competition or a vice-president delegated by him, of the withdrawals";  </w:t>
        <w:br/>
        <w:t xml:space="preserve">Considering that, by the aforementioned letter of August 8, 2001, the company Kampexport International declared its withdrawal of its referral; it is appropriate to acknowledge the part of its withdrawal and to classify the request for interim measures.  </w:t>
        <w:br/>
        <w:t xml:space="preserve">DECIDES  </w:t>
        <w:br/>
        <w:t xml:space="preserve">Article 1: The company Kampexport International is acknowledged for its withdrawal.  </w:t>
        <w:br/>
        <w:t xml:space="preserve">Article 2: The request for interim measures registered under number M 285 is classified.  </w:t>
        <w:br/>
        <w:t xml:space="preserve">The President  </w:t>
        <w:br/>
        <w:t xml:space="preserve">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