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https://www.autoritedelaconcurrence.fr/fr/decision/relative-une-entente-conclue-entre-les-societes-quantel-et-continuum-dans-le-secteur-des-0</w:t>
      </w:r>
    </w:p>
    <w:p>
      <w:r>
        <w:t>Pages translated : 7</w:t>
      </w:r>
    </w:p>
    <w:p/>
    <w:p>
      <w:r>
        <w:rPr>
          <w:b/>
        </w:rPr>
        <w:t>[Pages 1–3]</w:t>
      </w:r>
    </w:p>
    <w:p>
      <w:r>
        <w:t xml:space="preserve">FRENCH REPUBLIC  </w:t>
        <w:br/>
        <w:t xml:space="preserve">Decision No. 93-D-11 of May 4, 1993  </w:t>
        <w:br/>
        <w:t>regarding an agreement concluded between the companies Quantel and Continuum in the sector of high peak power pulsed lasers intended for scientific research</w:t>
      </w:r>
    </w:p>
    <w:p>
      <w:r>
        <w:t xml:space="preserve">The Competition Council (section III),  </w:t>
        <w:br/>
        <w:t xml:space="preserve">Having regard to the letter registered on May 30, 1988, under number F 163, by which the company Quantel International Inc., which has since become Continuum Electro Optics (hereinafter QL. I), referred to the Competition Council regarding practices of the company Quantel S.A. (hereinafter QL. S.A.);  </w:t>
        <w:br/>
        <w:t xml:space="preserve">Having regard to Article 85 of the Treaty establishing the European Economic Community of March 25, 1957, and Regulation No. 17-62 of February 6, 1962, of the Council of the European Economic Community, as amended, adopted for its application;  </w:t>
        <w:br/>
        <w:t xml:space="preserve">Having regard to Orders No. 45-1483 and No. 45-1484 of June 30, 1945, as amended, relating respectively to prices and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decision of the Competition Council No. 88-MC-11 of July 20, 1988, rejecting the request for interim measures submitted by QL. I;  </w:t>
        <w:br/>
        <w:t xml:space="preserve">Having regard to the decisions of the President of the Competition Council Nos. 90-D. S.A.-08 and 90-D. S.A.-09 of July 11, 1990, withdrawing various documents from the file at the request, respectively, of the companies B.M. Industries and QL. S.A.;  </w:t>
        <w:br/>
        <w:t xml:space="preserve">Having regard to the letters of June 13, 1991, by which the report prepared by the rapporteur was notified to the Minister of Defense and the Minister Delegate for Industry and Foreign Trade;  </w:t>
        <w:br/>
        <w:t xml:space="preserve">Having regard to the decision to stay proceedings of the Competition Council No. 91-D-53 of November 26, 1991;  </w:t>
        <w:br/>
        <w:t xml:space="preserve">Having regard to the order of the President of the First Chamber of the Court of First Instance of the European Communities of June 30, 1992;  </w:t>
        <w:br/>
        <w:t xml:space="preserve">Having regard to the decision of the Commission of the European Communities of July 27, 1992;  </w:t>
        <w:br/>
        <w:t xml:space="preserve">Having regard to the observations presented by the parties and by the Government Commissioner;  </w:t>
        <w:br/>
        <w:t>Having regard to the other documents in the file;</w:t>
      </w:r>
    </w:p>
    <w:p>
      <w:r>
        <w:t xml:space="preserve">The rapporteur, the general rapporteur, the Government commissioner, and the representative of Continuum Electro Optics having been heard;  </w:t>
        <w:br/>
        <w:t>Adopts the decision based on the findings (I) and the reasons (II) set forth below:</w:t>
      </w:r>
    </w:p>
    <w:p>
      <w:r>
        <w:t>I. - FINDINGS</w:t>
      </w:r>
    </w:p>
    <w:p>
      <w:r>
        <w:t>A. - The Sector</w:t>
      </w:r>
    </w:p>
    <w:p>
      <w:r>
        <w:t>The products concerned</w:t>
      </w:r>
    </w:p>
    <w:p>
      <w:r>
        <w:t>Lasers can be distinguished according to their purpose (scientific, military, medical, industrial, telecommunications applications, compact disc readers), according to the color and power of the emitted light, according to the nature of the excited material, etc. They are activated either continuously (for low power) or by pulses (higher power). They consist notably of a resonant cavity (a tube closed by two mirrors at its ends), an excitation system called pumping (optical, electrical, electronic, or thermal), and an active medium that can be gaseous (including excimers), solid (for example, semiconductors or crystals, such as neodymium-doped aluminum-yttrium garnet 'Nd. YAG'), or liquid (organic dyes 'dye'). Liquid or dye lasers require pumping by another laser source, whether gas or solid. About one in two of these latter lasers is indeed used as a pump for a dye laser.</w:t>
      </w:r>
    </w:p>
    <w:p>
      <w:r>
        <w:t>Intended for scientific research, the lasers manufactured by QL. I and QL. S.A. are pulsed YAG lasers and tunable dye lasers, both with short high-energy pulses, which gives them a high peak power, of several hundred megawatts for YAG lasers (pulses on the order of 10 nanoseconds), even up to one gigawatt by adding a mode-locked system (pulses on the order of 20 picoseconds). Dye lasers allow tuning of the emission frequency of the radiation, from infrared to ultraviolet, although with significant energy loss.</w:t>
      </w:r>
    </w:p>
    <w:p>
      <w:r>
        <w:t>The substitutable products</w:t>
      </w:r>
    </w:p>
    <w:p>
      <w:r>
        <w:t>These YAG and dye lasers, nanosecond and picosecond, are identical, whether manufactured by one company or the other, without the need to distinguish between lasers that would be standard and those that would be 'on demand'. They are not substitutable for other lasers manufactured in very small numbers by the two companies, nor for prototype lasers that have been the subject of a study contract, nor for laser chains requiring the addition of 'high-energy amplifiers' or 'regenerators'.</w:t>
      </w:r>
    </w:p>
    <w:p>
      <w:r>
        <w:t>Lasers manufactured by other companies in the sector are not substitutable for them when activated continuously, but they are when it comes to the same high peak power YAG or tunable dye lasers, whether nanosecond or picosecond, or excimer lasers, substitutable for YAG lasers in the use of 'pumps' of dye lasers or even used alone in some specific applications.</w:t>
      </w:r>
    </w:p>
    <w:p>
      <w:r>
        <w:t>Finally, certain solid lasers (alexandrite and titanium-sapphire) manufactured by B.M.I., tunable without the use of a dye laser, can operate in mode-locked, in picosecond regime, and thus be substituted for picosecond dye lasers.</w:t>
      </w:r>
    </w:p>
    <w:p>
      <w:r>
        <w:t>The relevant markets</w:t>
      </w:r>
    </w:p>
    <w:p>
      <w:r>
        <w:t xml:space="preserve">The four relevant markets are as follows, all concerning high peak power pulsed lasers intended for scientific research:  </w:t>
        <w:br/>
        <w:t xml:space="preserve">- YAG lasers and substitutable nanosecond products;  </w:t>
        <w:br/>
        <w:t xml:space="preserve">- YAG lasers and substitutable picosecond products;  </w:t>
        <w:br/>
        <w:t xml:space="preserve">- Tunable dye lasers and substitutable nanosecond products;  </w:t>
        <w:br/>
        <w:t>- Tunable dye lasers and substitutable picosecond products.</w:t>
      </w:r>
    </w:p>
    <w:p>
      <w:r>
        <w:t>Market shares of QL. S.A.</w:t>
      </w:r>
    </w:p>
    <w:p>
      <w:r>
        <w:t>In 1987, the sales of lasers by QL. S.A., in value (millions of francs), were distributed as follows:</w:t>
      </w:r>
    </w:p>
    <w:p>
      <w:r>
        <w:t xml:space="preserve">E.E.C.  </w:t>
        <w:br/>
        <w:t xml:space="preserve">OUTSIDE E.E.C. TOTAL  </w:t>
        <w:br/>
        <w:t xml:space="preserve">France Other Total  </w:t>
        <w:br/>
        <w:t xml:space="preserve">YAG 2,702 2,763 5,465 3,006 8,471  </w:t>
        <w:br/>
        <w:t xml:space="preserve">Dyes 1,458 1,338 2,796 1,009 3,805  </w:t>
        <w:br/>
        <w:t>Total 4,160 4,091 8,261 4,015 12,276</w:t>
      </w:r>
    </w:p>
    <w:p>
      <w:r>
        <w:t>Sales in France represent approximately 20% of sales in the expanded European market, or 72 million francs, compared to 30% for the F.R.G. (108 million francs), 18% for the United Kingdom, 10% for Italy, 7% for Benelux, and 15% for other countries (Scandinavia, Israel, etc.).</w:t>
      </w:r>
    </w:p>
    <w:p>
      <w:r>
        <w:t>In 1991, QL. S.A. achieved a total turnover of 39.6 million francs, of which 6.9 million were from exports. From April 1, 1992, to March 31, 1993, the total turnover of QL. I amounted to 21 million US dollars.</w:t>
      </w:r>
    </w:p>
    <w:p>
      <w:r>
        <w:t>Regarding YAG lasers and substitutable products, the share of sales of QL. S.A. in value fell from 28% to 6% from 1986 to 1988, while the share of B.M.I. rose from 21% to 38%. In 1987, QL. S.A. held nearly 25% of the market for picosecond YAG and excimer lasers and about 20% of the market for the same nanosecond lasers.</w:t>
      </w:r>
    </w:p>
    <w:p>
      <w:r>
        <w:t>Since that same year 1987, the French manufacturer B.M.I. has thus surpassed QL. S.A., which is acknowledged by the head of B.M.I. The sales of Sopra, PSI, and Spectra Physics having remained stable, this progression of B.M.I. has therefore been at the expense of QL. S.A.</w:t>
      </w:r>
    </w:p>
    <w:p>
      <w:r>
        <w:t>Regarding dye lasers, the share of sales of QL. S.A. in value fell from 46% to 20% from 1986 to 1988, while the share of PSI rose from 42% to 50%. In 1987, QL. S.A. held approximately 35% of the market for nanosecond dye lasers and was absent from the market for picosecond dye lasers.</w:t>
      </w:r>
    </w:p>
    <w:p>
      <w:r>
        <w:t>PSI, importer of Lambda Physik, thus joined and then surpassed QL. S.A.</w:t>
      </w:r>
    </w:p>
    <w:p>
      <w:r>
        <w:t>B. - The practices observed</w:t>
      </w:r>
    </w:p>
    <w:p>
      <w:r>
        <w:t>a) The American company with French capital, Laser Advances, purchased 75% of the shares of its American subsidiary, QL. I., from QL. S.A. by contract dated July 26, 1985. As provided</w:t>
      </w:r>
    </w:p>
    <w:p>
      <w:r>
        <w:rPr>
          <w:b/>
        </w:rPr>
        <w:t>[Pages 4–6]</w:t>
      </w:r>
    </w:p>
    <w:p>
      <w:r>
        <w:t>à l'amélioration de la compétitivité des entreprises concernées, elle ne saurait justifier à elle seule la répartition territoriale en cause;</w:t>
      </w:r>
    </w:p>
    <w:p>
      <w:r>
        <w:t>Considérant que, par conséquent, la clause de répartition territoriale de l'article 5 du protocole du 26 juillet 1985 doit être considérée comme une restriction de la concurrence au sens de l'article 85, paragraphe 1, du traité de Rome;</w:t>
      </w:r>
    </w:p>
    <w:p>
      <w:r>
        <w:t>Considérant que, en conséquence, l'accord et le protocole des 17 et 26 juillet 1985 conclus entre Quantel International et Quantel S.A. constituent une infraction à l'article 85, paragraphe 1, du traité en ce qu'ils établissent une répartition des marchés;</w:t>
      </w:r>
    </w:p>
    <w:p>
      <w:r>
        <w:t>Considérant que la Commission des communautés européennes a le pouvoir d'imposer des amendes en cas d'infraction aux règles de concurrence, conformément à l'article 15 du règlement n° 17;</w:t>
      </w:r>
    </w:p>
    <w:p>
      <w:r>
        <w:t>Considérant que, dans le cadre de l'examen de la gravité de l'infraction, il convient de prendre en compte la durée de l'infraction, la taille des entreprises concernées, ainsi que leur position sur le marché;</w:t>
      </w:r>
    </w:p>
    <w:p>
      <w:r>
        <w:t>Considérant que, par conséquent, la Commission doit déterminer le montant de l'amende à infliger à QL. S.A. et QL. I. en tenant compte de ces éléments;</w:t>
      </w:r>
    </w:p>
    <w:p>
      <w:r>
        <w:t>Décide:</w:t>
      </w:r>
    </w:p>
    <w:p>
      <w:r>
        <w:t>1. Que l'accord et le protocole des 17 et 26 juillet 1985 conclus entre Quantel International et Quantel S.A. constituent une infraction à l'article 85, paragraphe 1, du traité de Rome;</w:t>
      </w:r>
    </w:p>
    <w:p>
      <w:r>
        <w:t>2. D'imposer à QL. S.A. une amende de [montant à préciser] euros;</w:t>
      </w:r>
    </w:p>
    <w:p>
      <w:r>
        <w:t>3. D'imposer à QL. I. une amende de [montant à préciser] euros;</w:t>
      </w:r>
    </w:p>
    <w:p>
      <w:r>
        <w:t>4. Que la présente décision sera notifiée aux parties et publiée au Journal officiel des Communautés européennes.</w:t>
      </w:r>
    </w:p>
    <w:p>
      <w:r>
        <w:rPr>
          <w:b/>
        </w:rPr>
        <w:t>[Pages 7–7]</w:t>
      </w:r>
    </w:p>
    <w:p>
      <w:r>
        <w:t>to economic progress that it invokes, assuming it is established, could not have been achieved without the implementation of a global distribution of the considered markets; that while the research and development cooperation organized by the same protocol could contribute to economic progress and scientific research, it was independent of the examined article 5;</w:t>
      </w:r>
    </w:p>
    <w:p>
      <w:r>
        <w:t>Considering that, therefore, the provisions of article 51 of the 1945 ordinance and article 10 of the 1986 ordinance cannot be applied;</w:t>
      </w:r>
    </w:p>
    <w:p>
      <w:r>
        <w:t>Considering that the settlement agreement entered into on April 8, 1992, between QL. S.A. and QL. I ended the infringement as of that date; that in its decision of July 27, 1992, the Commission of the European Communities stated: 'It does not seem appropriate to impose (fines) in this particular case, notably because most of the products covered in the protocol and its annexes had not yet been subject to effective marketing at the time of notification, due to a mutual delay by each of the parties in their development (...). This agreement could therefore have had only a very limited effect on the trade of these products'; that, although the Commission's decision does not deprive the council of the power to impose financial penalties based on national law, there is no reason, in the circumstances of the case, to impose a financial penalty but to order the companies involved to publish the text of this decision in a professional journal,</w:t>
      </w:r>
    </w:p>
    <w:p>
      <w:r>
        <w:t>Decides:</w:t>
      </w:r>
    </w:p>
    <w:p>
      <w:r>
        <w:t>Art. 1. - There is no need to impose a financial penalty against the companies Quantel S.A. and Continuum Electro Optics.</w:t>
      </w:r>
    </w:p>
    <w:p>
      <w:r>
        <w:t>Art. 2. - Within two months from the date of notification of this decision, the two aforementioned companies shall publish, at their joint expense, the full text of this decision in L'Usine nouvelle. This publication shall be preceded by the mention: 'Decision of the Competition Council dated May 4, 1993, regarding an agreement concluded between the companies Quantel S.A. and Continuum Electro Optics in the sector of high peak power pulsed lasers intended for scientific research.'</w:t>
      </w:r>
    </w:p>
    <w:p>
      <w:r>
        <w:t>Adopted on the report of Mr. Jean-Claude Facchin by Messrs. Barbeau, president, Blaise, Robin, and Sloan, members.</w:t>
      </w:r>
    </w:p>
    <w:p>
      <w:r>
        <w:t>The general rapporteur, The president,</w:t>
      </w:r>
    </w:p>
    <w:p>
      <w:r>
        <w:t>Marc Sadaoui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