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https://www.autoritedelaconcurrence.fr/fr/decision/relative-une-plainte-lencontre-du-comite-interprofessionnel-du-gruyere-de-comte</w:t>
      </w:r>
    </w:p>
    <w:p>
      <w:r>
        <w:t>Pages translated : 18</w:t>
      </w:r>
    </w:p>
    <w:p/>
    <w:p>
      <w:r>
        <w:rPr>
          <w:b/>
        </w:rPr>
        <w:t>[Pages 1–3]</w:t>
      </w:r>
    </w:p>
    <w:p>
      <w:r>
        <w:t xml:space="preserve">FRENCH REPUBLIC  </w:t>
        <w:br/>
        <w:t xml:space="preserve">Decision No. 07-D-10 of March 28, 2007  </w:t>
        <w:br/>
        <w:t xml:space="preserve">regarding a complaint against  </w:t>
        <w:br/>
        <w:t>the Interprofessional Committee of Comté Gruyère</w:t>
      </w:r>
    </w:p>
    <w:p>
      <w:r>
        <w:t xml:space="preserve">The Competition Council (Section I),  </w:t>
        <w:br/>
        <w:t xml:space="preserve">Having regard to the request registered on November 29, 2006, under number 06/0088 F, by which the company Fruitière du massif jurassien (FMJ) referred the Competition Council to a complaint against the Interprofessional Committee of Comté Gruyère (CIGC) and the request for interim measures registered on the same day under number 06/0089 M;  </w:t>
        <w:br/>
        <w:t xml:space="preserve">Having regard to the Treaty establishing the European Community, in particular Articles 10, 32, 36, and 81;  </w:t>
        <w:br/>
        <w:t xml:space="preserve">Having regard to Book IV of the Commercial Code and Decree No. 2002-689 of April 30, 2002, as amended, setting the conditions for its application;  </w:t>
        <w:br/>
        <w:t xml:space="preserve">Having regard to the Rural Code, in particular Articles L. 640-1 and following;  </w:t>
        <w:br/>
        <w:t xml:space="preserve">Having regard to Decree No. 63-575 of June 11, 1963, establishing an Interprofessional Committee of Comté Gruyère;  </w:t>
        <w:br/>
        <w:t xml:space="preserve">Having regard to the amended decree of December 30, 1998, relating to the designation of origin "Comté";  </w:t>
        <w:br/>
        <w:t xml:space="preserve">Having regard to the observations presented by the complainant company, by the Interprofessional Committee of Comté Gruyère, and by the Government Commissioner;  </w:t>
        <w:br/>
        <w:t xml:space="preserve">Having regard to the other documents in the file;  </w:t>
        <w:br/>
        <w:t xml:space="preserve">The rapporteur, the deputy rapporteur general, the Government Commissioner, as well as the representatives of the Fruitière du massif jurassien and the Interprofessional Committee of Comté Gruyère heard during the session of February 6, 2007;  </w:t>
        <w:br/>
        <w:t>Adopts the following decision:</w:t>
      </w:r>
    </w:p>
    <w:p>
      <w:r>
        <w:t xml:space="preserve">I. Findings  </w:t>
        <w:br/>
        <w:t xml:space="preserve">A. THE SECTOR OF ACTIVITY: COMTÉ CHEESE  </w:t>
        <w:br/>
        <w:t xml:space="preserve">1. In Franche-Comté, the production of large cheeses is a very old tradition. In mountainous areas, large wheels of cheese or large-shaped cheeses, more commonly referred to as "wheels," represented a means of preserving food during the winter months, in other words, to "capitalize" on milk. The production of a wheel requires approximately 500 liters of milk, so farmers would unite and bring their production to the "fructerie," now called "fruitière."  </w:t>
        <w:br/>
        <w:t xml:space="preserve">2. Comté is a cheese made exclusively from cow's milk. It belongs to the category of pressed, cooked cheeses and similar (referred to as "PPC") such as Emmental, Gruyère, and Beaufort.  </w:t>
        <w:br/>
        <w:t>3. Comté benefits, under national law, from a controlled designation of origin (hereinafter AOC) and under community law from a protected designation of origin (hereinafter PDO).</w:t>
      </w:r>
    </w:p>
    <w:p>
      <w:r>
        <w:t xml:space="preserve">1. THE REGULATIONS APPLICABLE TO DESIGNATIONS OF ORIGIN  </w:t>
        <w:br/>
        <w:t xml:space="preserve">a) AOCs and PDOs  </w:t>
        <w:br/>
        <w:t>4. Initially governed solely by national law, designations of origin and other signs of agricultural valorization are now regulated under community law since the adoption of Council Regulation (EEC) No. 2081/92 of July 14, 1992, concerning the protection of geographical indications and designations of origin for agricultural products and foodstuffs (OJCE L 208, p. 1), replaced by Regulation (EC) No. 510/2006 of March 20, 2006 (OJUE L 93, p. 12).</w:t>
      </w:r>
    </w:p>
    <w:p>
      <w:r>
        <w:t xml:space="preserve">Under community law  </w:t>
        <w:br/>
        <w:t xml:space="preserve">5. The PDO provided for by these regulations is awarded to certain agricultural and food products other than wines and spirits (the latter being subject to a specific system). This designation is "the name of a region, a specific place, or, in exceptional cases, a country, which serves to designate an agricultural product or a foodstuff: - originating from that region, that specific place, or that country and - whose quality or characteristics are essentially or exclusively due to the geographical environment, including natural and human factors, and whose production, processing, and preparation take place in the delimited geographical area."  </w:t>
        <w:br/>
        <w:t>6. The PDO thus targets products entirely "made" in the area concerned. Furthermore, the quality or characteristics of a PDO product must be essentially due to the factors of that area.</w:t>
      </w:r>
    </w:p>
    <w:p>
      <w:r>
        <w:t>7. In accordance with the French system, except for wines that are subject to specific regulations, French AOCs are now systematically subject to a registration request as PDOs.</w:t>
      </w:r>
    </w:p>
    <w:p>
      <w:r>
        <w:t xml:space="preserve">Under domestic law  </w:t>
        <w:br/>
        <w:t xml:space="preserve">8. A decree-law of July 30, 1935, established the principles of the AOC system as they still exist today. The first recognized AOC was in 1936 for the wine of Arbois, produced in the Jura. Initially reserved for wines and spirits, the system was extended in 1990 to all agri-food products.  </w:t>
        <w:br/>
        <w:t xml:space="preserve">9. The Consumer Code, as well as the Intellectual Property Code (Article L. 721-1) and the Rural Code which refer to it, today constitute, at the national level, the legislative and regulatory framework applicable to quality signs of which AOCs are a part.  </w:t>
        <w:br/>
        <w:t xml:space="preserve">10. The rules applicable to AOCs set out in the Rural Code have been recently amended by Ordinance No. 2006-1547 of December 7, 2006, relating to the valorization of agricultural, forestry, or food products and seafood products (OJ of December 8, 2006), coming into force on January 1, 2007, with the principles remaining the same.  </w:t>
        <w:br/>
        <w:t xml:space="preserve">11. Article L. 115-1 of the Consumer Code states: "A designation of origin is the name of a country, a region, and a locality, serving to designate a product that originates from it and whose quality or characteristics are due to the geographical environment, including natural factors and human factors." The new Article L. 641-5 of the Rural Code specifies: "Agricultural, forestry, or food products and seafood products, whether raw or processed, that meet the conditions set by the provisions of Article L. 115-1 of the Consumer Code, possess a duly established reputation, and whose production is subject to approval procedures involving operator authorization, control of production conditions, and control of products may benefit from a controlled designation of origin."  </w:t>
        <w:br/>
        <w:t xml:space="preserve">12. The recognition of an AOC is subject to a decree (new Article L. 641-7 of the Rural Code). It is proposed by the National Institute of Origin and Quality (INAO), a public administrative establishment that succeeded the National Institute of Designations of Origin, of which it has retained the acronym, after examining a request submitted in this regard by the interested parties.  </w:t>
        <w:br/>
        <w:t xml:space="preserve">13. In this regard, since January 1, 2007, the defense and management of a product benefiting from a controlled designation of origin, or for which such a designation is requested, must be ensured by a recognized organization with legal personality (new Article L. 642-17 of the Rural Code). These organizations will carry out the missions previously assigned to the defense unions of designations of origin or interprofessional organizations. The Interprofessional Committee of Comté Gruyère (hereinafter CIGC) is in the process of being recognized as such an organization.  </w:t>
        <w:br/>
        <w:t xml:space="preserve">14. Community legislation itself provides that requests for registration or modification of the specifications of PDOs must come from a group, that is to say, "any organization, regardless of its legal form or composition, of producers or processors concerned by the same agricultural product or the same foodstuff." The examination of the request is then carried out by the concerned Member State.  </w:t>
        <w:br/>
        <w:t>15. The organization and functioning of the INAO were governed, at the time when the behaviors denounced in this case occurred, by Articles L. 641-5 and following of the Rural Code.</w:t>
      </w:r>
    </w:p>
    <w:p>
      <w:r>
        <w:rPr>
          <w:b/>
        </w:rPr>
        <w:t>[Pages 4–6]</w:t>
      </w:r>
    </w:p>
    <w:p>
      <w:r>
        <w:t>16. Article L. 641-5, in its then-current wording, stated: "The National Institute of Appellations of Origin is a public administrative establishment, enjoying legal personality. It includes: 1° A national committee competent for wines, spirits, ciders, perry, aperitifs based on ciders, perry, or wines; 2° A national committee for dairy products; 3° A national committee for products other than those covered by the aforementioned bodies. These committees are composed of professional representatives, representatives of administrations, and qualified individuals allowing for the representation of consumers. Each of these committees decides for the products within its competence on the issues mentioned in Article L. 641-6. The members of these committees are gathered in plenary session for the presentation of the budget and the general policy of the institute. A permanent council composed of members belonging to the same categories as those provided for the national committees and chosen from these committees establishes the budget of the institute and determines the general policy regarding controlled designations of origin. The presidents of the national committees and the permanent council are appointed by joint order of the minister responsible for the economy and the minister of agriculture. The president of the permanent council is appointed for two years. He is chosen successively from each of the national committees."</w:t>
      </w:r>
    </w:p>
    <w:p>
      <w:r>
        <w:t>17. The provisions resulting from Ordinance No. 2006-1547 in force since January 1, 2007, are not significantly different regarding the issues raised in this case.</w:t>
      </w:r>
    </w:p>
    <w:p>
      <w:r>
        <w:t>18. An order dated July 29, 1991, sets the composition of the National Committee for Dairy Products (hereinafter "CNPL") of the INAO. It includes 24 representatives from the defense unions of controlled designations of origin concerning dairy products, 15 individuals chosen for their expertise in controlled designation of origin for dairy products or in the distribution and consumption sectors, and 8 representatives from administrations.</w:t>
      </w:r>
    </w:p>
    <w:p>
      <w:r>
        <w:t>19. In order to process a request for recognition or modification of the production conditions of a designation, the competent national committee of the INAO may designate within itself an inquiry commission, composed of professionals who must be individuals without interests in the region concerned. This commission is responsible for conducting a thorough examination of the request and reporting to the national committee so that it can decide whether to propose the adoption of a decree.</w:t>
      </w:r>
    </w:p>
    <w:p>
      <w:r>
        <w:t>b) The objectives pursued</w:t>
      </w:r>
    </w:p>
    <w:p>
      <w:r>
        <w:t>20. The objectives of the policy on quality and origin identification signs for agricultural and food products are outlined in the recitals of the aforementioned Community regulations.</w:t>
      </w:r>
    </w:p>
    <w:p>
      <w:r>
        <w:t>21. The second and third recitals of Council Regulation No. 2081/92 dated July 14, 1992, state: "(...) that within the framework of the reorientation of the common agricultural policy, it is appropriate to promote the diversification of agricultural production in order to achieve a better balance between supply and demand in the market; that the promotion of products with certain characteristics can become an important asset for the rural world, particularly in disadvantaged or remote areas, by ensuring, on the one hand, the improvement of farmers' income and, on the other hand, the retention of the rural population in these areas." "(...) that it has been observed in recent years that consumers tend to prioritize quality over quantity in their diet; that this search for specific products is reflected, among other things, in an increasing demand for agricultural products or foodstuffs of a certain geographical origin." It is also indicated in the sixth recital "(...) that the desire to protect agricultural products or foodstuffs identifiable by their geographical origin has led some Member States to create 'controlled designations of origin'; that these have developed to the satisfaction of producers who obtain better incomes in exchange for a real qualitative effort and to the satisfaction of consumers who have access to specific products with guarantees regarding their method of production and origin."</w:t>
      </w:r>
    </w:p>
    <w:p>
      <w:r>
        <w:t>22. These considerations have been, in substance, reiterated in the recitals of Regulation No. 510/2006.</w:t>
      </w:r>
    </w:p>
    <w:p>
      <w:r>
        <w:t>23. These objectives are also included in the Rural Code: "The policy conducted in the field of quality and origin of agricultural products (...) must meet the following objectives: - promote the diversity of products and the identification of their characteristics, as well as their mode of production or origin, to enhance consumer information and meet their expectations; - strengthen the development of agricultural (...) and food sectors and increase the quality of products through clear market segmentation; - establish agricultural (...) or food production in the territory and ensure the maintenance of economic activity, particularly in disadvantaged rural areas, by enhancing know-how and production basins; - distribute the fruits of the valorization of agricultural products (...) fairly among [producers], processors, and marketing companies." These objectives are currently included in the new Article L. 640-1 of the Rural Code.</w:t>
      </w:r>
    </w:p>
    <w:p>
      <w:r>
        <w:t>2. THE CONTROLLED DESIGNATION OF ORIGIN COMTE</w:t>
      </w:r>
    </w:p>
    <w:p>
      <w:r>
        <w:t>24. Comté has benefited from a controlled designation of origin recognized by decree since 1958. The AOC defines a production territory and guarantees compliance with traditional breeding, manufacturing, and aging processes, established in a specification subject to strict control. The production rules for Comté currently result from a decree of December 30, 1998, amended (Official Journal of January 5, 1999), and its implementing regulation approved by interministerial order on the proposal of the CNPL. This regulation specifies the conditions that cheeses must meet to benefit from the controlled designation of origin "Comté," as well as the obligations of the various producers in the sector.</w:t>
      </w:r>
    </w:p>
    <w:p>
      <w:r>
        <w:t>25. In particular, under the amended decree of December 30, 1998, cheeses must be "made exclusively from raw cow's milk in its natural state. With the exception of partial skimming, curdling, the addition of lactic ferments, or manufacturing aids provided for in the implementing regulation, any removal or addition of this milk is prohibited. It is a cooked, pressed cheese, salted on the surface or in brine, ivory to yellow in color, generally presenting an "opening" that can reach the size of a small cherry. The cheese must contain a minimum of 45 grams of fat per 100 grams of cheese after complete drying and must have a dry matter content that is not less than 62 grams per 100 grams of cheese. The cheese must not have a moisture content in the degreased cheese (HFD) exceeding 54%. The cheese is presented in the form of a wheel, weighing between 30 and 48 kilograms, with a diameter of 50 to 75 centimeters, having a straight or slightly convex heel with a height of 8 to 13 centimeters, with a rubbed, solid, and grainy rind, yellow to brown in color. The thickness at the center of the wheel must not exceed the height of the heel multiplied by the coefficient 1.4. The cheese benefiting from the controlled designation of origin "Comté" may also be presented in the form of packaged portions."</w:t>
      </w:r>
    </w:p>
    <w:p>
      <w:r>
        <w:t>26. The milk used for production must come exclusively from Montbéliarde or French Simmental cows. Each animal must have at least one hectare of natural pasture. Soil fertilization is limited to preserve the richness of the natural flora. The livestock feed must be natural and free from fermented products (no silage). Raw milk must be collected daily, and the milk must be transformed into Comté within 24 hours of collection. The distance between the workshops and their collection area is, unless exemptions are granted, limited to 25 kilometers. Only natural ferments contribute to the maturation of the milk. All colorants and additives are prohibited. Comté must be aged in a cellar for a minimum of 4 months.</w:t>
      </w:r>
    </w:p>
    <w:p>
      <w:r>
        <w:t>27. The imposed production conditions aim to guarantee the specific characteristics of Comté which, in accordance with the definition of the AOC, result from both natural factors, such as the geographical production area, and human factors, particularly manufacturing techniques and methods of elaboration. These conditions have direct consequences on the organization and development of the actors in the sector.</w:t>
      </w:r>
    </w:p>
    <w:p>
      <w:r>
        <w:t>28. The territory covered by the AOC corresponds to the production areas exhaustively listed in the decree. While the production area established in 1958 included all the Comtois departments, as well as municipalities in Haute-Marne, Côte d'Or, Saône-et-Loire, and Ain, a revision in 1996 restricted the AOC area to the "geological" Jura where "constancy of use" was observed. In accordance with Article 1 of the aforementioned decree of December 30, 1998, Comté can no longer be produced outside a territory that covers most of the Jura and a good part of Doubs, as well as a small portion of Ain.</w:t>
      </w:r>
    </w:p>
    <w:p>
      <w:r>
        <w:t>3. THE PROTECTED DESIGNATION OF ORIGIN COMTE</w:t>
      </w:r>
    </w:p>
    <w:p>
      <w:r>
        <w:t>29. Comté has also benefited, since 1996, from a PDO. It is registered in the Community register of protected designations of origin.</w:t>
      </w:r>
    </w:p>
    <w:p>
      <w:r>
        <w:t>4. THE COMTÉ SECTOR</w:t>
      </w:r>
    </w:p>
    <w:p>
      <w:r>
        <w:t>30. The Comté sector includes three types of businesses: Comté milk producers, Comté producers, and affineurs.</w:t>
      </w:r>
    </w:p>
    <w:p>
      <w:r>
        <w:t>a) The Comté Milk Producers</w:t>
      </w:r>
    </w:p>
    <w:p>
      <w:r>
        <w:t>31. In 2006, approximately 3,200 dairy farms produced milk intended for Comté production. These farms supply the Comté producers. The production conditions for Comté milk are strict, but producers receive attractive remuneration, 15 to 20% higher than that of standard milk.</w:t>
      </w:r>
    </w:p>
    <w:p>
      <w:r>
        <w:rPr>
          <w:b/>
        </w:rPr>
        <w:t>[Pages 7–9]</w:t>
      </w:r>
    </w:p>
    <w:p>
      <w:r>
        <w:t xml:space="preserve">b) The Comté Producers  </w:t>
        <w:br/>
        <w:t xml:space="preserve">32. Comté is produced in fruitières, cooperatives, or companies of various sizes. In 2006, there are approximately 180 producers. Historically, Comté is made in small village fruitières, whose number tends to decrease. The number of fruitières has decreased from 270 in the 1990s to 170 today.  </w:t>
        <w:br/>
        <w:t xml:space="preserve">33. Comté production workshops include copper vats of various sizes (from 500 to more than 5,000 liters per vat for the largest ones). Traditionally, workshops have 2 to 5 vats. The vats allow for the simultaneous production of several wheels and can be used multiple times in a single day. According to the CIGC, only two companies regularly conduct more than two production rounds in a single vat within 24 hours.  </w:t>
        <w:br/>
        <w:t xml:space="preserve">34. In 2004, Comté production workshops could be classified as follows, according to their size (by annual volume of collected Comté milk):  </w:t>
        <w:br/>
        <w:t xml:space="preserve">VOLUME CLASS (IN LITERS OF COMTÉ MILK) NUMBER OF WORKSHOPS  </w:t>
        <w:br/>
        <w:t xml:space="preserve">Less than 1 million 14  </w:t>
        <w:br/>
        <w:t xml:space="preserve">1 to 2 million 45  </w:t>
        <w:br/>
        <w:t xml:space="preserve">2 to 3 million 47  </w:t>
        <w:br/>
        <w:t xml:space="preserve">3 to 4 million 26  </w:t>
        <w:br/>
        <w:t xml:space="preserve">4 to 5 million 17  </w:t>
        <w:br/>
        <w:t xml:space="preserve">5 to 5.2 million 1  </w:t>
        <w:br/>
        <w:t xml:space="preserve">5.2 to 5.4 million 4  </w:t>
        <w:br/>
        <w:t xml:space="preserve">5.4 to 5.6 million 2  </w:t>
        <w:br/>
        <w:t xml:space="preserve">5.6 to 5.8 million 2  </w:t>
        <w:br/>
        <w:t xml:space="preserve">5.8 to 6 million 3  </w:t>
        <w:br/>
        <w:t xml:space="preserve">6 to 6.2 million 2  </w:t>
        <w:br/>
        <w:t xml:space="preserve">6.2 to 6.4 million 4  </w:t>
        <w:br/>
        <w:t xml:space="preserve">6.4 to 6.6 million 1  </w:t>
        <w:br/>
        <w:t xml:space="preserve">6.6 to 7 million 1  </w:t>
        <w:br/>
        <w:t xml:space="preserve">7 to 8 million 2  </w:t>
        <w:br/>
        <w:t xml:space="preserve">8 to 10 million 2  </w:t>
        <w:br/>
        <w:t xml:space="preserve">10 to 15 million 3  </w:t>
        <w:br/>
        <w:t xml:space="preserve">More than 15 million 3  </w:t>
        <w:br/>
        <w:t xml:space="preserve">35. According to statistics provided by the CIGC, production workshops are distributed as follows, according to the number of vats:  </w:t>
        <w:br/>
        <w:t xml:space="preserve">% OF CHEESE FACTORIES NUMBER OF VATS  </w:t>
        <w:br/>
        <w:t xml:space="preserve">27 % 2  </w:t>
        <w:br/>
        <w:t xml:space="preserve">41 % 3  </w:t>
        <w:br/>
        <w:t xml:space="preserve">29 % 4  </w:t>
        <w:br/>
        <w:t xml:space="preserve">3 % 5  </w:t>
        <w:br/>
        <w:t xml:space="preserve">36. According to the same statistics, production workshops are distributed as follows, according to the size of the vats (in number of wheels produced simultaneously per vat).  </w:t>
        <w:br/>
        <w:t xml:space="preserve">% OF CHEESE FACTORIES NUMBER OF WHEELS  </w:t>
        <w:br/>
        <w:t xml:space="preserve">23 % fewer than 6 wheels  </w:t>
        <w:br/>
        <w:t xml:space="preserve">28 % from 6 to 8 wheels  </w:t>
        <w:br/>
        <w:t xml:space="preserve">18 % from 8 to 10 wheels  </w:t>
        <w:br/>
        <w:t xml:space="preserve">14 % from 10 to 12 wheels  </w:t>
        <w:br/>
        <w:t xml:space="preserve">17 % more than 12 wheels (i.e., more than 5,000 liters)  </w:t>
        <w:br/>
        <w:t xml:space="preserve">c) The Comté Affiners  </w:t>
        <w:br/>
        <w:t xml:space="preserve">37. The wheels are sold to affineurs or aged directly by the producers for resale. The sector includes 25 affineurs who age 76% of the tonnage and 49 manufacturing affineurs.  </w:t>
        <w:br/>
        <w:t xml:space="preserve">38. Comté must be aged for at least 4 months, as previously indicated. However, the variability in aging durations means that at any given time, it is possible to obtain Comté from different seasons. Summer Comtés have the most diverse and fruity aromas. Winter Comtés, with a light paste, are characterized by more pronounced "nutty," vegetal, and roasted notes.  </w:t>
        <w:br/>
        <w:t xml:space="preserve">5. COMTÉ AMONG OTHER AOC CHEESES  </w:t>
        <w:br/>
        <w:t xml:space="preserve">39. There are approximately 1,000 types of cheese produced in France. 42 currently benefit from an AOC. The French are the largest consumers of cheese in Europe, with 24 kilograms per year per inhabitant.  </w:t>
        <w:br/>
        <w:t xml:space="preserve">40. The top 10 AOC cheeses alone represented, in 2004, 79% of AOC tonnage (source: INAO). Comté is, by volume, the first AOC cheese sold in France.  </w:t>
        <w:br/>
        <w:t xml:space="preserve">Source: INAO  </w:t>
        <w:br/>
        <w:t xml:space="preserve">41. Comté production is steadily increasing. It rose from 35,000 tons in 1990 to 50,000 tons in 2004. The conversion of Grand-cru Emmental cooperatives located in the northern part of the Doubs department to Comté production would explain most of this evolution.  </w:t>
        <w:br/>
        <w:t xml:space="preserve">PRODUCTION TREND  </w:t>
        <w:br/>
        <w:t xml:space="preserve">(in tons)  </w:t>
        <w:br/>
        <w:t xml:space="preserve">Table 1  </w:t>
        <w:br/>
        <w:t xml:space="preserve">Source: www.comte.com  </w:t>
        <w:br/>
        <w:t xml:space="preserve">42. Comté sales amounted to 43,500 tons in 2004, of which 75% were to large and medium-sized retail chains.  </w:t>
        <w:br/>
        <w:t>43. The increase in production has been accompanied by an increase in selling prices, both at the departure from the cellars and for the final consumer. Selling prices to consumers have regularly increased, rising on average from 7.5 euros per kg in 1990 to 9.75 euros in 2004.</w:t>
      </w:r>
    </w:p>
    <w:p>
      <w:r>
        <w:rPr>
          <w:b/>
        </w:rPr>
        <w:t>[Pages 10–12]</w:t>
      </w:r>
    </w:p>
    <w:p>
      <w:r>
        <w:t xml:space="preserve">EVOLUTION OF SALES  </w:t>
        <w:br/>
        <w:t xml:space="preserve">(DEPOT CAVE)  </w:t>
        <w:br/>
        <w:t xml:space="preserve">Source: www.comte.com  </w:t>
        <w:br/>
        <w:t xml:space="preserve">EVOLUTION OF CONSUMER PRICES  </w:t>
        <w:br/>
        <w:t>Source: www.comte.com</w:t>
      </w:r>
    </w:p>
    <w:p>
      <w:r>
        <w:t>44. The export market is rapidly developing, particularly towards Germany, Belgium, and the United States. According to the INAO, Comté is said to be the most exported AOC cheese after Roquefort. In 2004, 1,153 tons were exported to the German market (+6% year-on-year) and 572 tons to the Belgian market (+22% year-on-year).</w:t>
      </w:r>
    </w:p>
    <w:p>
      <w:r>
        <w:t xml:space="preserve">B. THE ENTITIES INVOLVED  </w:t>
        <w:br/>
        <w:t xml:space="preserve">1. THE FRUITIERE OF THE JURA MASSIF (FMJ)  </w:t>
        <w:br/>
        <w:t>45. The Fruitière of the Jura massif (hereinafter FMJ) is a public limited company that engages in a dual activity as a producer and ripener of Comté. It does not produce or ripen any other type of cheese.</w:t>
      </w:r>
    </w:p>
    <w:p>
      <w:r>
        <w:t>46. FMJ has 41 shareholders, including 36 milk producers. It employs 48 people. It produces Comté in six processing workshops. Five process between 3,000 and 11,000 liters of milk per day. The sixth, located in Pont-du-Navoy, is a large workshop capable of processing 56,000 liters of milk per day using three vats in which five successive production rounds are carried out per day. It sources from approximately 130 Comté milk producers (individual farms or cooperatives) and benefits from an exemption from the INAO, as its collection area extends beyond the 25 kilometers set by the regulations.</w:t>
      </w:r>
    </w:p>
    <w:p>
      <w:r>
        <w:t>47. FMJ sells 80% of its production to large and medium-sized retail chains, under private labels.</w:t>
      </w:r>
    </w:p>
    <w:p>
      <w:r>
        <w:t>48. FMJ is a significant player in the sector as it produces 3,000 tons of Comté per year, accounting for 6% of total production. Its main competitors are Lactalis, Jura Courlaoux (Entremont group), and Ermitage. FMJ established a joint subsidiary with Entremont in 2006. Entremont is a major player in the Comté sector with approximately 30% of market placements.</w:t>
      </w:r>
    </w:p>
    <w:p>
      <w:r>
        <w:t>49. The president of FMJ has been a member of the board of directors of the CIGC since May 2006 as a representative of cheese manufacturers (decree of the Minister of Agriculture and Fisheries of May 4, 2006, Official Journal of May 17, 2006).</w:t>
      </w:r>
    </w:p>
    <w:p>
      <w:r>
        <w:t xml:space="preserve">2. THE INTERPROFESSIONAL COMMITTEE OF GRUYERE DE COMTE (CIGC)  </w:t>
        <w:br/>
        <w:t>50. This committee was established by decree No. 63-575 of June 11, 1963 (Official Journal of June 15, 1963), in the form of a private law organization with legal personality. Its headquarters is located in Poligny (Jura).</w:t>
      </w:r>
    </w:p>
    <w:p>
      <w:r>
        <w:t>51. Its members are representatives of Comté milk producers, Comté producers, ripeners, and dairy product traders, as well as the president of the CNPL and the president of the National Association of Protected Designations of Origin (ANAO).</w:t>
      </w:r>
    </w:p>
    <w:p>
      <w:r>
        <w:t>52. Although the use of the word gruyère was subsequently abandoned to designate the controlled designation of origin "Comté," the name of the CIGC has remained unchanged.</w:t>
      </w:r>
    </w:p>
    <w:p>
      <w:r>
        <w:t xml:space="preserve">53. According to Article 2 of the aforementioned decree of June 11, 1963, the CIGC is responsible for:  </w:t>
        <w:br/>
        <w:t xml:space="preserve">“1° Conducting all studies on the production and marketing of Gruyère de Comté and centralizing for this purpose all economic, technical, and practical information;  </w:t>
        <w:br/>
        <w:t xml:space="preserve">2° Providing agricultural operators, fruitières, dairies, ripeners, and traders with all useful technical and practical assistance for improving the quality of Gruyère de Comté and better profitability of the professional activities involved in the production and marketing of this cheese;  </w:t>
        <w:br/>
        <w:t xml:space="preserve">3° Ensuring the application of decisions and texts relating to the designation of origin "Gruyère de Comté" or "Comté";  </w:t>
        <w:br/>
        <w:t xml:space="preserve">4° Informing consumers, both French and foreign, about the quality of Gruyère de Comté, in order to expand the outlets available for this cheese.  </w:t>
        <w:br/>
        <w:t>The committee is authorized to present to public authorities any measures aimed at improving the production and marketing of Gruyère de Comté.”</w:t>
      </w:r>
    </w:p>
    <w:p>
      <w:r>
        <w:t>54. The CIGC meets in plenary assembly. This plenary assembly decides on the orientations of the bureau's work. The bureau consults for opinions four specialized commissions covering the main areas of activity of the CIGC: a publicity commission, an information commission, an economic commission, and a technical commission for Comté that has a role of advice and technical assistance to the various stakeholders in the sector.</w:t>
      </w:r>
    </w:p>
    <w:p>
      <w:r>
        <w:t>55. The CIGC has formally submitted a request to the INAO for recognition as a defense and management organization in accordance with the new provisions of the rural code resulting from the aforementioned ordinance of December 7, 2006.</w:t>
      </w:r>
    </w:p>
    <w:p>
      <w:r>
        <w:t xml:space="preserve">C. THE MARKET CONCERNED  </w:t>
        <w:br/>
        <w:t>56. In its decision No. 98-D-54 of July 8, 1998, regarding practices implemented in the sector of Comté Gruyère production, the Competition Council found that there was a market, in the sense of competition law, for the Comté cheese with controlled designation of origin: “the characteristics and production conditions of AOC Comté as provided for by the decree of December 19, 1986, relating to the controlled designation Comté allow for the delineation of a market for Comté cheese with controlled designation of origin.”</w:t>
      </w:r>
    </w:p>
    <w:p>
      <w:r>
        <w:t>57. The Council referred in this regard to two decisions it had adopted concerning cheeses benefiting from an AOC (Cantal, Reblochon), one of which, after appeal, was confirmed by the Court of Appeal and the Court of Cassation. Since then, in its decision No. 04-D-13 of April 8, 2004, regarding practices implemented by the Société des caves et producteurs réunis de Roquefort in the sector of blue-veined cheeses, subsequently confirmed by the Court of Appeal of Paris and then the Court of Cassation, the Council also considered that a cheese with specific characteristics, such as those required to benefit from an AOC, which differentiate it from cheeses of similar appearance or comparable manufacturing methods, is not substitutable if its taste is distinctly different: it thus concluded that there was a market limited to Roquefort.</w:t>
      </w:r>
    </w:p>
    <w:p>
      <w:r>
        <w:t>58. While these precedents do not imply that every agricultural product or foodstuff benefiting from an AOC constitutes a market in itself, no element in the file leads to reconsider the assessment made in decision No. 98-D-54 regarding the existence of a specific market for Comté.</w:t>
      </w:r>
    </w:p>
    <w:p>
      <w:r>
        <w:t xml:space="preserve">D. THE PRACTICES ALLEGED  </w:t>
        <w:br/>
        <w:t>59. The complainant denounces four "measures" adopted by the CIGC between 2000 and 2006 and proposed for approval to the specialized committee of the INAO, the CNPL, with a view to their transcription into a revised version of the decree governing the AOC Comté. These "measures" introduce new provisions setting the maximum number of vats per workshop, the maximum size of these vats, and the maximum number of successive production rounds per vat. They also provide for a control mechanism for the growth of production in the workshops by limiting the annual increase in the quantity of milk they would be allowed to process. The FMJ company specifies that it is not aware of all potentially anti-competitive measures adopted by the CIGC.</w:t>
      </w:r>
    </w:p>
    <w:p>
      <w:r>
        <w:rPr>
          <w:b/>
        </w:rPr>
        <w:t>[Pages 13–15]</w:t>
      </w:r>
    </w:p>
    <w:p>
      <w:r>
        <w:t>demande du CIGC.</w:t>
      </w:r>
    </w:p>
    <w:p>
      <w:r>
        <w:t>70. Le Conseil note également que le CIGC, en tant qu'organisation professionnelle, a pour mission de défendre les intérêts des producteurs de comté et de veiller à la qualité de la production. Dans ce cadre, il peut proposer des modifications réglementaires qui, selon lui, sont nécessaires pour préserver l'intégrité de l'appellation.</w:t>
      </w:r>
    </w:p>
    <w:p>
      <w:r>
        <w:t>71. Toutefois, le Conseil doit s'assurer que ces propositions ne portent pas atteinte aux règles de concurrence établies par le droit communautaire. Il doit donc examiner si les mesures contestées par la société FMJ sont susceptibles de constituer une entente anticoncurrentielle au sens des articles 81 CE et L. 420-1 du code de commerce.</w:t>
      </w:r>
    </w:p>
    <w:p>
      <w:r>
        <w:t>72. En conclusion, le Conseil de la concurrence doit analyser les éléments présentés par la société FMJ et déterminer si les mesures adoptées par le CIGC dans le cadre de la révision de la réglementation de l'AOC « Comté » respectent les principes de concurrence établis par le droit communautaire et national.</w:t>
      </w:r>
    </w:p>
    <w:p>
      <w:r>
        <w:rPr>
          <w:b/>
        </w:rPr>
        <w:t>[Pages 16–18]</w:t>
      </w:r>
    </w:p>
    <w:p>
      <w:r>
        <w:t>the proposal of the INAO; that the European Commission or the Member States ultimately have, under the Community regulation on designations of origin, the possibility to legally oppose the measures adopted, without prejudice to any potential intervention by competition authorities if the measures adopted violate the provisions of Article 81 EC.</w:t>
      </w:r>
    </w:p>
    <w:p>
      <w:r>
        <w:t>B. ON THE COMPETENCE OF THE COUNCIL</w:t>
      </w:r>
    </w:p>
    <w:p>
      <w:r>
        <w:t>70. In their observations, the Government Commissioner and the CIGC believe that the Council is not competent to rule on the present case. They emphasize that while the request for modification of the regulations applicable to the production and marketing of Comté was made by the CIGC to the INAO by letter dated July 31, 2000, the examination of this request conducted by the INAO between 2000 and 2006 was, subsequent to the referral to the Council, ultimately closed by the adoption by the CNPL, on December 1, 2006, of a draft amending text that was transmitted to the competent ministers. Consequently, the assessment of the practices denounced, assuming they had the object or effect of distorting competition, would no longer be separable from the assessment of the legality of the amending decree of the AOC which will eventually be adopted, on which it would only be for the Council of State to rule.</w:t>
      </w:r>
    </w:p>
    <w:p>
      <w:r>
        <w:t>71. The Competition Council is, in fact, not competent to assess the legality of an administrative decision reflecting the exercise of public power prerogatives, and in particular to verify the regularity of the acts or preparatory procedures leading to the adoption of this decision. In this case, if the decree proposed by the INAO were adopted, it would be for the Council of State, seized of an appeal directed against this decree, to assess the legality of the competition restrictions it might entail and to verify whether the procedure followed by the authors of the decree was regular. However, this competence certainly does not prevent the Competition Council from examining whether, in the shelter or on the occasion of the discussions that took place among professionals during the preparation of the text, and more particularly during the stages in which they were led to propose to the public authorities a modification of the production rules of Comté, the member companies of the interprofessional committee pursued an anti-competitive plan aimed, for example, at excluding from the market a certain type of competing producer through an agreement that would be prohibited both by Article 81 EC and Article L. 420-1 of the Commercial Code. Such an agreement between companies must indeed be able to be assessed - and potentially sanctioned - independently of the examination by the administrative judge of the legality of the text that will eventually be adopted by the public authorities following the consultation of the concerned professionals.</w:t>
      </w:r>
    </w:p>
    <w:p>
      <w:r>
        <w:t>C. ON THE PRACTICES DENOUNCED</w:t>
      </w:r>
    </w:p>
    <w:p>
      <w:r>
        <w:t>72. The complainant denounces "the agreements made within the Interprofessional Committee of Comté cheese whose purpose is to limit production by processing workshop." According to it, "in July 2000, the CIGC decided to request a modification of the regulatory texts that define the notion of AOC Comté in order to pursue its objective of limiting the size of workshops and the quantity of cheese produced by processing workshops, even though the limitation of Comté production by workshop has no link with the purpose of the regulation on the AOC, namely the preservation of the link with the terroir."</w:t>
      </w:r>
    </w:p>
    <w:p>
      <w:r>
        <w:t>73. During the session, the company FMJ specifically argued that the draft decree, as it was ultimately transmitted for signature, contains provisions that limit to a fixed tonnage the growth of production by production site. According to the complainant, the amount of this tonnage was chosen in such a way that it imposes no constraint on the growth of small farms but strongly hinders that of large ones. FMJ is the largest producer of the Comté designation.</w:t>
      </w:r>
    </w:p>
    <w:p>
      <w:r>
        <w:t>74. According to the Government Commissioner, it is through a misinterpretation of Article L. 420-1 of the Commercial Code that the company FMJ qualified the consultation procedure aimed at drafting a proposal for a text as an agreement. It is indeed within the prerogatives of the Comté cheese interprofessional organization to make proposals regarding the AOC. And no element allows us to conclude that the CIGC exceeded its mission and used the negotiations inherent to the functioning of the AOCs to hinder, directly or indirectly, competition.</w:t>
      </w:r>
    </w:p>
    <w:p>
      <w:r>
        <w:t>75. As indicated by the Council in decision No. 06-D-21 mentioned above, given the previously recalled case law, "the mere fact for a professional or interprofessional organization to make an internal decision in order to determine its position within the framework of a consultation [of the professions interested by the public authorities before making an economic intervention decision] cannot be considered as constituting an anti-competitive agreement likely to fall under the prohibitions of Article 81 EC or Article L. 420-1 of the Commercial Code."</w:t>
      </w:r>
    </w:p>
    <w:p>
      <w:r>
        <w:t>76. This is all the more true when, as in this case, national and Community regulations provide that a modification of the production rules of the product in question may occur at the initiative of the concerned professional organization.</w:t>
      </w:r>
    </w:p>
    <w:p>
      <w:r>
        <w:t>77. This situation is to be distinguished from that which led to decision No. 98-D-54 of July 8, 1998, whereby the Council sanctioned the CIGC for having, in 1995, during the setting of the price of identification plates for Comté cheese, limited production increases by itself by confining them to a growth of 10% compared to the previous year and establishing, in case of exceeding, a penalty regime. The Council indeed found that it was not within the missions of the Interprofessional Committee of Comté cheese to take measures to regulate markets aimed at limiting competition. In this context, the behavior of the CIGC constituted an anti-competitive agreement.</w:t>
      </w:r>
    </w:p>
    <w:p>
      <w:r>
        <w:t>78. No element of the file shows anomalies suggesting the presence of anti-competitive behaviors in the formal conduct of the work under the responsibility of the INAO, such as the opposition made to operators to formulate proposals different from that of the CIGC. Notably, the president of the FMJ company was heard on March 21, 2001, by the inquiry commission of the INAO, in his capacity as a representative of the trade union chamber of affineurs of Emmental and Comté. He was also heard on September 9, 2001, by the inquiry commission in his capacity as a member of the trade union chamber of milk buyers, manufacturers, and affineurs of Comté (ALFAC). Moreover, he was appointed by order of May 4, 2006 (Official Journal of May 17, 2006) as a representative of cheese manufacturers other than cooperatives as a member of the CIGC and in this capacity participated in the CNPL session of December 1, 2006, during which the draft amending decree was adopted.</w:t>
      </w:r>
    </w:p>
    <w:p>
      <w:r>
        <w:t>79. No other element of the file allows to characterize in this instance a behavior of the CIGC or its members that would be contrary to Articles 81 EC and L. 420-1 of the Commercial Code.</w:t>
      </w:r>
    </w:p>
    <w:p>
      <w:r>
        <w:t>80. It follows from all of the above that the allegations of collusion within the Interprofessional Committee of Comté cheese, denounced by the referral, are not supported by sufficiently probative elements to substantiate them.</w:t>
      </w:r>
    </w:p>
    <w:p>
      <w:r>
        <w:t>81. For the reasons indicated above, it is not for the Council to examine whether the provisions proposed to the regulatory authority, in particular those aimed at the differentiated control of the growth of Comté production according to the size of the producing company, would violate or not, if adopted, the combined provisions of Articles 10 and 81 of the EC Treaty. For all these reasons, the referral should be rejected pursuant to Article L. 462-8, paragraph 2, of the Commercial Code and, consequently, the request for interim measures should also be rejected.</w:t>
      </w:r>
    </w:p>
    <w:p>
      <w:r>
        <w:t>DECISION</w:t>
      </w:r>
    </w:p>
    <w:p>
      <w:r>
        <w:t>Article 1: The referral on the merits registered under number 06/0088 F is rejected.</w:t>
      </w:r>
    </w:p>
    <w:p>
      <w:r>
        <w:t>Article 2: The request for interim measures registered under number 06/0089 M is rejected.</w:t>
      </w:r>
    </w:p>
    <w:p>
      <w:r>
        <w:t>Deliberated on the oral report of Mr. Poulain, by Mr. Nasse, Vice-President, presiding over the session, Ms. Mader-Saussaye and Ms. Pinot, as well as Messrs. Bidaud, Combe, and Honorat, members.</w:t>
      </w:r>
    </w:p>
    <w:p>
      <w:r>
        <w:t>The session secretary, The Vice-President,</w:t>
      </w:r>
    </w:p>
    <w:p>
      <w:r>
        <w:t>Rita Sougoumarane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