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https://www.autoritedelaconcurrence.fr/fr/decision/relative-une-pratique-mise-en-oeuvre-dans-le-secteur-de-la-diffusion-de-la-television</w:t>
      </w:r>
    </w:p>
    <w:p>
      <w:r>
        <w:t>Pages translated : 35</w:t>
      </w:r>
    </w:p>
    <w:p/>
    <w:p>
      <w:r>
        <w:rPr>
          <w:b/>
        </w:rPr>
        <w:t>[Pages 1–3]</w:t>
      </w:r>
    </w:p>
    <w:p>
      <w:r>
        <w:t xml:space="preserve">FRENCH REPUBLIC  </w:t>
        <w:br/>
        <w:t xml:space="preserve">Decision No. 20-D-01 of January 16, 2020  </w:t>
        <w:br/>
        <w:t xml:space="preserve">regarding a practice implemented in the sector of terrestrial digital television broadcasting  </w:t>
        <w:br/>
        <w:t xml:space="preserve">The Competition Authority (section IA),  </w:t>
        <w:br/>
        <w:t xml:space="preserve">Having regard to the letter registered on November 15, 2017, under number 17/0219 F, by which the company towerCast referred to the Competition Authority practices implemented in the sector of terrestrial digital television broadcasting;  </w:t>
        <w:br/>
        <w:t xml:space="preserve">Having regard to opinion No. 2018-0148 of February 6, 2018, issued by the Regulatory Authority for Electronic Communications and Posts;  </w:t>
        <w:br/>
        <w:t xml:space="preserve">Having regard to opinion No. 2018-02 of February 21, 2018, issued by the Higher Council for Audiovisual;  </w:t>
        <w:br/>
        <w:t xml:space="preserve">Having regard to the Treaty on the Functioning of the European Union (TFEU), and in particular, its Article 102;  </w:t>
        <w:br/>
        <w:t xml:space="preserve">Having regard to Council Regulation (EEC) No. 17/62 of February 6, 1962, implementing Articles 85 and 86 of the EEC Treaty;  </w:t>
        <w:br/>
        <w:t xml:space="preserve">Having regard to Council Regulation (EC) No. 1/2003 of December 16, 2002, on the implementation of the competition rules laid down in Articles 81 and 82 of the EC Treaty;  </w:t>
        <w:br/>
        <w:t xml:space="preserve">Having regard to Council Regulation (EEC) No. 4064/89 of December 21, 1989, on the control of concentrations between undertakings;  </w:t>
        <w:br/>
        <w:t xml:space="preserve">Having regard to Council Regulation (EC) No. 139/2004 of January 20, 2004, on the control of concentrations between undertakings;  </w:t>
        <w:br/>
        <w:t xml:space="preserve">Having regard to Book IV of the Commercial Code, and in particular its Article L. 420-2;  </w:t>
        <w:br/>
        <w:t xml:space="preserve">Having regard to the business secrecy decisions No. 17-DSA-529 of December 5, 2017, No. 18-DSA-061 of February 28, 2018, No. 18-DSA-076 of March 9, 2018, No. 18-DSA-077 of March 9, 2018, No. 18-DSA-083 of March 13, 2018, No. 18-DSA-110 of April 12, 2018, No. 18-DSA-111 of April 12, 2018, No. 18-DSA-115 of April 17, 2018, No. 18-DSA-329 of October 5, 2018, No. 18-DSA-383 of October 30, 2018, No. 19-DSA-220 of June 19, 2019; No. 19-DSA-299 of September 2, 2019, No. 19-DSA-405 of September 2, 2019, No. 19-DSA-577 of October 21, 2019, No. 19-DSA-578 of October 21, 2019;  </w:t>
        <w:br/>
        <w:t>Having regard to the declassification decisions No. 18-DECR-128 of April 26, 2018, No. 18-DEC-130 of April 26, 2018, No. 18-DECR-140 of May 18, 2018, No. 18-DEC-143 of May 25, 2018, No. 18-DEC-148 of May 28, 2018, No. 18-DEC-177 of June 8, 2018, No. 18-DECR-178 of June 8, 2018;</w:t>
      </w:r>
    </w:p>
    <w:p>
      <w:r>
        <w:t xml:space="preserve">Having regard to the observations presented by the companies TDF Infrastructure S.A.S, TDF Infrastructure Holding S.A.S, Tivana France Holdings S.A.S, Tivana Midco S.à r.l., Tivana Topco S.A., towerCast, and the Government Commissioner;  </w:t>
        <w:br/>
        <w:t xml:space="preserve">Having regard to the letter of May 10, 2019, by which the companies TDF Infrastructure S.A.S, TDF Infrastructure Holding S.A.S, Tivana France Holdings S.A.S referred to the auditor;  </w:t>
        <w:br/>
        <w:t xml:space="preserve">Having regard to the report of the auditor of July 3, 2019;  </w:t>
        <w:br/>
        <w:t xml:space="preserve">Having regard to the letter of July 16, 2019, by which the companies TDF Infrastructure S.A.S, TDF Infrastructure Holding S.A.S, Tivana France Holdings S.A.S requested a hearing under Article L. 463-7 of the Commercial Code;  </w:t>
        <w:br/>
        <w:t xml:space="preserve">Having regard to the note in deliberation from the companies TDF Infrastructure S.A.S, TDF Infrastructure Holding S.A.S, Tivana France Holdings S.A.S of November 28, 2019;  </w:t>
        <w:br/>
        <w:t xml:space="preserve">Having regard to the other documents in the file;  </w:t>
        <w:br/>
        <w:t xml:space="preserve">The rapporteurs, the general rapporteur, the Government Commissioner, and the representatives of the companies TDF Infrastructure S.A.S, TDF Infrastructure Holding S.A.S, Tivana France Holding S.A.S, Tivana Midco S.à r.l., Tivana Topco S.A., towerCast, heard during the session of the Competition Authority on November 5, 2019,  </w:t>
        <w:br/>
        <w:t>Adopts the following decision:</w:t>
      </w:r>
    </w:p>
    <w:p>
      <w:r>
        <w:t xml:space="preserve">Summary1  </w:t>
        <w:br/>
        <w:t xml:space="preserve">By the terms of the decision below, the Competition Authority considers that the complaint of abuse of dominant position notified against the company TDF on the basis of Articles 102 of the TFEU and L. 420-2 of the Commercial Code is not established.  </w:t>
        <w:br/>
        <w:t xml:space="preserve">In this case, the Authority was seized by the company towerCast, which believed that the acquisition of the company Itas by the company TDF on October 13, 2016, constituted an abuse of dominant position, contrary to the provisions of Article L. 420-2 of the Commercial Code.  </w:t>
        <w:br/>
        <w:t xml:space="preserve">This concentration operation, which did not exceed the European thresholds for mandatory notification defined in Article 1 of Regulation No. 139/2004, nor the French thresholds provided for in Article L. 430-2 of the Commercial Code, had not been subject to notification or examination regarding the control of concentrations.  </w:t>
        <w:br/>
        <w:t xml:space="preserve">However, the company towerCast argued that this operation would have substantially impeded competition in the upstream and downstream wholesale markets of DTT broadcasting, significantly strengthening TDF's dominant position in these markets and thus constituted a violation of the provisions of Article L. 420-2 of the Commercial Code. The referral notably based its argumentation on the judgment of the Court of Justice of February 21, 1973, Continental Can (case C-6/72, Rec. 1973 00215), concerning the assessment of a concentration of undertakings in light of Article 102 of the TFEU.  </w:t>
        <w:br/>
        <w:t xml:space="preserve">In this case, the Court had held that the European Commission could legally apply, in the absence of texts specifically governing the control of concentrations, Article 86 of the EEC Treaty (now Article 102 of the TFEU) to concentration operations. It had notably considered, in this regard, that "the act of a company in a dominant position reinforcing that position to the point that the degree of dominance thus achieved would substantially impede competition, that is to say, would leave only dependent companies in their behavior on the dominant company, is likely to constitute an abuse."  </w:t>
        <w:br/>
        <w:t xml:space="preserve">However, this judgment was rendered prior to the adoption of a concentration control system at the European level, introduced by Council Regulation (EEC) No. 4064/89 of December 21, 1989, subsequently replaced by Council Regulation (EC) No. 139/2004 of January 20, 2004. The Authority therefore considered that the establishment, at the European level, of a prior control system for concentrations by the aforementioned Regulation No. 4064/89, clarified notably by the statements of the Council and the Commission at the time of its adoption, rendered the application of Article 102 of the TFEU to a concentration operation moot, in the absence of distinct behavior by the company concerned following this operation. It follows that the application of the Continental Can case law has, de facto, become obsolete, as evidenced notably by the fact that the Commission has not applied Article 86 of the EEC Treaty (now Article 102 of the TFEU) to a concentration operation after the entry into force of Regulation No. 4064/89.  </w:t>
        <w:br/>
        <w:t xml:space="preserve">With regard to domestic law, the Authority recalled that it follows from the decision-making practice of the Competition Council and then the Authority, confirmed by the case law of the Paris Court of Appeal and the Court of Cassation, that the procedures relating to the control of agreements and abuses of dominant position on the one hand, and the control of concentrations, on the other hand, are different and incompatible with each other. At the date of the facts examined in the  </w:t>
        <w:br/>
        <w:t>1 This summary is strictly informative. Only the reasons for the decision numbered below are authoritative.</w:t>
      </w:r>
    </w:p>
    <w:p>
      <w:r>
        <w:rPr>
          <w:b/>
        </w:rPr>
        <w:t>[Pages 4–6]</w:t>
      </w:r>
    </w:p>
    <w:p>
      <w:r>
        <w:t>the present case, the Commercial Code exclusively contains, on the one hand, a set of rules applicable to business concentrations, subject to mandatory notification as soon as the conditions defined by law, notably the crossing of thresholds in terms of turnover, are met; on the other hand, rules applicable to other business behaviors, from which it follows that agreements and abuses of dominant position are notably prohibited. It follows from these provisions that a concentration cannot, under the current applicable rules, be considered in itself as an abuse of dominant position. On the other hand, abusive behaviors that can be detached from the very concentration operation may constitute anti-competitive practices that can be sanctioned. They may, in particular, fall within the scope of Article L. 430-9 of the Commercial Code, which allows for the annulment of a concentration when it has enabled abuses. This may be the case even if the concentration was authorized ex ante, when the company involved has committed an abusive exploitation of a dominant position or a state of economic dependence.</w:t>
      </w:r>
    </w:p>
    <w:p>
      <w:r>
        <w:t>Thus, both under European Union law and under domestic law, concentration operations are governed by a specific set of rules, distinct from those applicable to the control of anti-competitive practices.</w:t>
      </w:r>
    </w:p>
    <w:p>
      <w:r>
        <w:t>Under the rules governing the control of business concentrations, a concentration operation may be subject to ex ante control by the Authority or by the European Commission, as soon as the thresholds set by Article L. 430-2 of the Commercial Code or Article 1 of Regulation No. 139/2004 are crossed. However, a concentration operation that does not reach the thresholds defined in Article 1 of Regulation No. 139/2004 may be referred by the Authority to the Commission when the conditions provided for in Article 22 of the aforementioned regulation are met, even if it would not be subject to mandatory notification under the provisions of the Commercial Code. But, in the case at hand, the concentration operation in question did not give rise to such a referral to the Commission.</w:t>
      </w:r>
    </w:p>
    <w:p>
      <w:r>
        <w:t>In light of the above, the Authority dismissed the allegation of abuse of dominant position and declared that there was no need to continue the proceedings.</w:t>
      </w:r>
    </w:p>
    <w:p>
      <w:r>
        <w:t xml:space="preserve">SUMMARY  </w:t>
        <w:br/>
        <w:t xml:space="preserve">RESUME ............................................................................................................................... 3  </w:t>
        <w:br/>
        <w:t xml:space="preserve">I. Findings ................................................................................................................... 6  </w:t>
        <w:br/>
        <w:t xml:space="preserve">A. Procedural Background ...................................................................................... 6  </w:t>
        <w:br/>
        <w:t xml:space="preserve">B. The Sector and the Companies Involved .............................................................. 6  </w:t>
        <w:br/>
        <w:t xml:space="preserve">1. The Sector ........................................................................................................... 6  </w:t>
        <w:br/>
        <w:t xml:space="preserve">2. The Companies Involved ................................................................................... 17  </w:t>
        <w:br/>
        <w:t xml:space="preserve">C. The Facts at Issue .............................................................................................. 20  </w:t>
        <w:br/>
        <w:t xml:space="preserve">1. The Concentration Operation .......................................................................... 20  </w:t>
        <w:br/>
        <w:t xml:space="preserve">2. The Economic Objectives of the Operation Presented by TDF ...................... 21  </w:t>
        <w:br/>
        <w:t xml:space="preserve">3. The Consequences of the Operation on the Use of TDF's Site Portfolio </w:t>
        <w:br/>
        <w:t xml:space="preserve">augmented by that of Itas ...................................................................................... 22  </w:t>
        <w:br/>
        <w:t xml:space="preserve">D. Reminder of the Allegation Notified .................................................................. 23  </w:t>
        <w:br/>
        <w:t xml:space="preserve">II. Discussion ............................................................................................................ 24  </w:t>
        <w:br/>
        <w:t xml:space="preserve">A. On the Procedure .............................................................................................. 24  </w:t>
        <w:br/>
        <w:t xml:space="preserve">1. On the Request for Hearing under Article L. 463-7 of the Commercial Code </w:t>
        <w:br/>
        <w:t xml:space="preserve">............................................................................................................................. 24  </w:t>
        <w:br/>
        <w:t xml:space="preserve">2. On the Hearing Report of October 11, 2019 .................................................... 25  </w:t>
        <w:br/>
        <w:t xml:space="preserve">B. On the Authority's Jurisdiction to Examine TDF's Acquisition of Itas </w:t>
        <w:br/>
        <w:t xml:space="preserve">on the Basis of Articles L. 420-2 of the Commercial Code and 102 TFEU .......... 25  </w:t>
        <w:br/>
        <w:t xml:space="preserve">1. On the Application of Article 102 TFEU ......................................................... 26  </w:t>
        <w:br/>
        <w:t xml:space="preserve">2. On the Application of Article L. 420-2 of the Commercial Code .................... 31  </w:t>
        <w:br/>
        <w:t xml:space="preserve">C. Conclusion ......................................................................................................... 33  </w:t>
        <w:br/>
        <w:t>DECISION ...................................................................................................................... 35</w:t>
      </w:r>
    </w:p>
    <w:p>
      <w:r>
        <w:t xml:space="preserve">I. Findings  </w:t>
        <w:br/>
        <w:t xml:space="preserve">A. PROCEDURAL BACKGROUND  </w:t>
        <w:br/>
        <w:t xml:space="preserve">1. By a letter registered on November 15, 2017, under number 17/0219 F2, the company towerCast, pursuant to II of Article L. 462-5 of the Commercial Code, referred a practice to the Competition Authority (hereinafter "the Authority") implemented in the sector of terrestrial digital television broadcasting (hereinafter "DTT").  </w:t>
        <w:br/>
        <w:t xml:space="preserve">2. It argues that by taking control of Itas (hereinafter "the operation"), the company TDF has substantially impeded competition in the upstream and downstream wholesale markets of DTT broadcasting, significantly strengthening its dominant position in these markets, and thereby violating the provisions of Article L. 420-2 of the Commercial Code.  </w:t>
        <w:br/>
        <w:t xml:space="preserve">3. After being solicited by letters from the General Rapporteur of the Authority dated December 1, 20173, ARCEP and CSA transmitted, respectively on February 23, 2018, and February 26, 2018, their opinions on the referral of the Authority by the company towerCast4.  </w:t>
        <w:br/>
        <w:t xml:space="preserve">4. On June 25, 2018, the investigation services sent a statement of objections to the companies TDF Infrastructure S.A.S, TDF Infrastructure Holding S.A.S, Tivana France Holdings S.A.S, Tivana Midco S.à.r.l., Tivana Topco S.A., followed by a report on April 19, 2019.  </w:t>
        <w:br/>
        <w:t xml:space="preserve">B. THE SECTOR AND THE COMPANIES INVOLVED  </w:t>
        <w:br/>
        <w:t xml:space="preserve">1. THE SECTOR  </w:t>
        <w:br/>
        <w:t xml:space="preserve">a) The Value Chain of the Audiovisual Sector  </w:t>
        <w:br/>
        <w:t xml:space="preserve">5. It follows from the decision-making practice of the Authority that the value chain of the audiovisual sector comprises four main activities (see notably the Authority's decisions No. 16-D-11 of June 6, 2016, regarding practices implemented in the sector of terrestrial television broadcasting, paragraph 6, and No. 17-D-11 of July 25, 2017, regarding practices implemented in the television advertising sector, paragraphs 5 to 9).  </w:t>
        <w:br/>
        <w:t xml:space="preserve">6. Firstly, the production activity aims to design and produce programs such as films or television shows. Television channels constitute the main mode of exploitation and financing of audiovisual productions.  </w:t>
        <w:br/>
        <w:t xml:space="preserve">7. Secondly, the content publishing activity consists of creating program schedules. Television service publishers define the theme and the line.  </w:t>
        <w:br/>
        <w:t xml:space="preserve">2 Cotes 2-3.  </w:t>
        <w:br/>
        <w:t xml:space="preserve">3 Cotes 186 and 188.  </w:t>
        <w:br/>
        <w:t>4 Opinion of ARCEP No. 2018-0148 dated February 6, 2018, regarding the referral of the company towerCast concerning practices implemented by the company TDF in the sector of DTT broadcasting and opinion of CSA No. 2018-02 dated February 21, 2018, relating to a referral of the Authority by the company towerCast against the company TDF.</w:t>
      </w:r>
    </w:p>
    <w:p>
      <w:r>
        <w:rPr>
          <w:b/>
        </w:rPr>
        <w:t>[Pages 7–9]</w:t>
      </w:r>
    </w:p>
    <w:p>
      <w:r>
        <w:t xml:space="preserve">editorial of their channels and, on this basis, produce their own programs internally and acquire broadcasting rights for various types of content from producers. Television service publishers then offer different distributors the right to market their channels.  </w:t>
        <w:br/>
        <w:t xml:space="preserve">8. Thirdly, distributors ensure the marketing of television offers, in the form of channel bouquets accessible by subscription or "à la carte," to end consumers as well as managing the relationship with them. The publishing and distribution activities in the pay television sector derive most of their revenue from subscriptions paid by end consumers, while the publishing of free channels is primarily funded by revenue generated from television advertising.  </w:t>
        <w:br/>
        <w:t xml:space="preserve">9. Fourth and finally, the transport and broadcasting activities correspond to the technical services involved in transmitting content from the television channel control rooms to the receivers of viewers or subscribers, who access the content through various platforms: cable, satellite, ADSL, fiber optic, or terrestrial platform.  </w:t>
        <w:br/>
        <w:t xml:space="preserve">b) The offer of channels on the terrestrial platform  </w:t>
        <w:br/>
        <w:t xml:space="preserve">Terrestrial digital television  </w:t>
        <w:br/>
        <w:t xml:space="preserve">10. The free offer of DTT was launched on March 31, 2005. The digitization of the signal allowing multiple channels to be broadcast on the same frequency has since significantly expanded the free terrestrial television offer.  </w:t>
        <w:br/>
        <w:t xml:space="preserve">11. While only six channels were broadcast in analog, the free DTT offer now includes the following 26 channels (excluding local channels from France Télévisions), all broadcast in high definition (hereinafter "HD") since April 5, 2016, with the exception of LCI5:  </w:t>
        <w:br/>
        <w:t xml:space="preserve">− the national public channels France 2, France 3 (the channel also offers regional and local programs), France 4, France 5, France Ô, and Franceinfo (France Télévisions group), Arte, and La Chaîne Parlementaire (LCP-Assemblée nationale and Public Sénat);  </w:t>
        <w:br/>
        <w:t xml:space="preserve">− TF1, TMC, TFX, TF1 Séries Films, and LCI (TF1 group);  </w:t>
        <w:br/>
        <w:t xml:space="preserve">− M6, W9, and 6ter (Métropole Télévision group);  </w:t>
        <w:br/>
        <w:t xml:space="preserve">− C8, CStar, and CNews (Canal Plus Group);  </w:t>
        <w:br/>
        <w:t xml:space="preserve">− NRJ12 and Chérie 25 (NRJ group);  </w:t>
        <w:br/>
        <w:t xml:space="preserve">− BFM TV, RMC Découverte, and RMC Story (this channel belonged to Diversité TV France until its acquisition by NextRadioTV group in July 2017);  </w:t>
        <w:br/>
        <w:t xml:space="preserve">− L’Équipe (Amaury group);  </w:t>
        <w:br/>
        <w:t xml:space="preserve">− Gulli (this channel belonged to Lagardère group before its acquisition by M6 group in June 2019).  </w:t>
        <w:br/>
        <w:t xml:space="preserve">12. At its launch in 2005, the pay DTT offer consisted of eleven channels. It has since gradually reduced and now includes five channels, namely Canal+, Canal+ Cinéma, Canal+ Sport, Paris Première, and Planète+. With the exception of Paris Première, all these channels are broadcast in HD6.  </w:t>
        <w:br/>
        <w:t xml:space="preserve">The grouping of channels in multiplexes  </w:t>
        <w:br/>
        <w:t xml:space="preserve">13. The free and pay television channels that share the same frequency are grouped within "multiplexes." Each multiplex primarily aims to enter into broadcasting contracts with operators present in the market.  </w:t>
        <w:br/>
        <w:t xml:space="preserve">14. The number of multiplexes has evolved several times since 2005, following the evolution of the offer, but also the image and sound compression standards adopted7.  </w:t>
        <w:br/>
        <w:t xml:space="preserve">15. The channels are now grouped into six multiplexes as follows:  </w:t>
        <w:br/>
        <w:t xml:space="preserve">A platform accessible to the entire population  </w:t>
        <w:br/>
        <w:t xml:space="preserve">16. Between March 2005 and December 2007, DTT was gradually deployed to cover 85% of the metropolitan population8. 129 broadcasting zones were necessary to achieve this. These zones make up the so-called "main" DTT network (hereinafter "main network") which today covers 87% of the population9 and represents approximately 66% of the value of the DTT broadcasting sector10.  </w:t>
        <w:br/>
        <w:t xml:space="preserve">17. Law no. 2007-309 of March 5, 2007, relating to the modernization of audiovisual broadcasting and the television of the future, defined a coverage objective for the population by the historical free-to-air channels of at least 95%, according to modalities and a schedule established by the CSA,  </w:t>
        <w:br/>
        <w:t xml:space="preserve">6 Cotes 2611-2612.  </w:t>
        <w:br/>
        <w:t xml:space="preserve">7 A compression standard refers to a type of broadcasting format. The "MPEG-2" standard was initially chosen for the broadcasting of DTT programs, before being completely replaced in 2016 by the more efficient "MPEG-4" standard, which enabled the generalization of high definition.  </w:t>
        <w:br/>
        <w:t xml:space="preserve">8 Decision no. 2009-0484 of ARCEP of June 11, 2009, concerning the definition of the relevant wholesale market for terrestrial digital television broadcasting services, the designation of an operator exercising significant influence on this market, and the obligations imposed on this operator in this market, p. 8  </w:t>
        <w:br/>
        <w:t xml:space="preserve">9 Cote 1763.  </w:t>
        <w:br/>
        <w:t xml:space="preserve">10 Cote 3594.  </w:t>
        <w:br/>
        <w:t>8</w:t>
      </w:r>
    </w:p>
    <w:p>
      <w:r>
        <w:t xml:space="preserve">and introduced an incentive mechanism for new DTT channels, leading them to undertake additional coverage commitments.  </w:t>
        <w:br/>
        <w:t xml:space="preserve">18. In total, by December 2008, 1,626 broadcasting zones had been defined by the CSA to cover the metropolitan population11.  </w:t>
        <w:br/>
        <w:t xml:space="preserve">19. To implement this deployment, a so-called "complementary" or "secondary" network (hereinafter "complementary network") has been gradually deployed over approximately 1,500 broadcasting zones, which are smaller than those of the main network. The complementary network covers approximately 10% of the metropolitan population12 and represents about 34% of the value of the DTT broadcasting sector13.  </w:t>
        <w:br/>
        <w:t xml:space="preserve">20. With the exception of multiplex R3 grouping pay DTT channels, which is required to broadcast only in 1,136 zones, the metropolitan multiplexes cover the aforementioned 1,626 zones14. All these deployments currently represent 9,266 service points15, each corresponding to the broadcasting of one of the six current multiplexes in a broadcasting zone.  </w:t>
        <w:br/>
        <w:t xml:space="preserve">21. Deployed over approximately 1,940 broadcasting zones, DTT now covers 97.3% of the metropolitan population16.  </w:t>
        <w:br/>
        <w:t xml:space="preserve">c) The technical broadcasting of DTT  </w:t>
        <w:br/>
        <w:t xml:space="preserve">The technical broadcasting chain  </w:t>
        <w:br/>
        <w:t xml:space="preserve">22. Once the audiovisual signals are transported from the multiplex network heads, where signals from the channel control rooms are aggregated, to the broadcasting sites, the signals are broadcast to the viewers' antennas. The transport and broadcasting activities thus constitute related services.  </w:t>
        <w:br/>
        <w:t xml:space="preserve">23. DTT is a means of broadcasting television in digital mode via electromagnetic waves called terrestrial waves. The terrestrial broadcasting sites are generally high points, associated with technical buildings on the ground.  </w:t>
        <w:br/>
        <w:t xml:space="preserve">24. At these sites, the technical broadcasting chain generally operates as follows:  </w:t>
        <w:br/>
        <w:t xml:space="preserve">− signals must be received on the site, either by a satellite or terrestrial wireless reception system, or by wired means;  </w:t>
        <w:br/>
        <w:t xml:space="preserve">− once the signals are received, a transmitter modulates and amplifies them;  </w:t>
        <w:br/>
        <w:t>− the signals are then taken over at the transmitter output for broadcasting via terrestrial means from an antenna system (including a ground multiplexer, as well as</w:t>
      </w:r>
    </w:p>
    <w:p>
      <w:r>
        <w:rPr>
          <w:b/>
        </w:rPr>
        <w:t>[Pages 10–12]</w:t>
      </w:r>
    </w:p>
    <w:p>
      <w:r>
        <w:t xml:space="preserve">qu'un support conducteur pour la propagation des ondes entre le multiplexeur et l'antenne, appelé « feeder », et une antenne sur un pylône, une tour ou un bâtiment) ;  </w:t>
        <w:br/>
        <w:t xml:space="preserve">− l’ensemble des équipements et des installations nécessite une alimentation électrique qui peut être ou non sécurisée, ainsi qu’un système de ventilation et de climatisation17.  </w:t>
        <w:br/>
        <w:t xml:space="preserve">25. The diagram below illustrates this technical broadcasting chain:  </w:t>
        <w:br/>
        <w:t xml:space="preserve">The gradual opening of the sector to competition  </w:t>
        <w:br/>
        <w:t xml:space="preserve">26. Terrestrial audiovisual broadcasting has historically been subject to a state monopoly entrusted to the French Radio and Television Office (ORTF) and, from 1975, to Télédiffusion de France.  </w:t>
        <w:br/>
        <w:t xml:space="preserve">27. Article 51 of Law No. 86-1067 of September 30, 1986, relating to the freedom of communication, granted TDF the monopoly of broadcasting and transmission, in France and abroad, by all analog telecommunications means, of public audiovisual programs: Radio France, RFI, RFO, and the France Télévisions group. Alongside the execution of these public service missions, TDF was in competition with other operators to offer private radio and television channels terrestrial analog broadcasting services.  </w:t>
        <w:br/>
        <w:t xml:space="preserve">28. Law No. 2003-1365 of December 31, 2003, relating to public service obligations in telecommunications and France Télécom, transposed Community Directive No. 2002/77/EC of September 16, 2002, concerning competition in the markets for electronic communications networks and services, thus opening the terrestrial broadcasting sector to competition. By repealing Article 51 of the aforementioned 1986 law, it caused TDF to lose its monopoly on the analog broadcasting of programs from public audiovisual sector companies (see in particular Decision No. 16-D-11 of the aforementioned Authority, paragraphs 8 to 10).  </w:t>
        <w:br/>
        <w:t xml:space="preserve">29. TDF found itself in competition to offer broadcasting services on DTT from its launch in March 2005.  </w:t>
        <w:br/>
        <w:t xml:space="preserve">The development of competition  </w:t>
        <w:br/>
        <w:t xml:space="preserve">The process of opening up to competition  </w:t>
        <w:br/>
        <w:t xml:space="preserve">30. Multiplexes freely choose their broadcaster, independently of one another, following calls for tenders, based on the offers made to them for each of the areas. Thus, a multiplex can select different broadcasters depending on the areas18.  </w:t>
        <w:br/>
        <w:t xml:space="preserve">31. Multiplexes prepare calls for tenders in anticipation of the expiration of broadcasting contracts, which have a fixed duration, generally five years19. They may then choose, in the areas concerned by these calls for tenders, other broadcasters than those currently in place.  </w:t>
        <w:br/>
        <w:t xml:space="preserve">32. To respond to these calls for tenders, broadcasters construct offers in which they specify the site from which they intend to operate the broadcast, as well as the equipment they consider best suited to meet the technical criteria defined by the CSA, at a competitive price20.  </w:t>
        <w:br/>
        <w:t xml:space="preserve">33. In the same area, multiplexes can be broadcast by different broadcasters from different sites. Different broadcasters can also operate from the same site. In cases where one of them has no infrastructure of its own in a given area, it can request access to another's site.  </w:t>
        <w:br/>
        <w:t xml:space="preserve">Access offers and competition development models  </w:t>
        <w:br/>
        <w:t xml:space="preserve">34. According to the decision-making practice of the Authority, two wholesale markets for DTT broadcasting services must be distinguished21:  </w:t>
        <w:br/>
        <w:t xml:space="preserve">− the downstream wholesale market, where the demand from multiplexes meets the supply of services from broadcasters;  </w:t>
        <w:br/>
        <w:t xml:space="preserve">− the upstream wholesale market, corresponding to a market for access to broadcasting infrastructures, where the demand from broadcasters without their own broadcasting infrastructures meets the supply from site-managing broadcasters.  </w:t>
        <w:br/>
        <w:t xml:space="preserve">35. The upstream wholesale market has been regulated since 2006 by ARCEP, which has imposed a number of obligations on TDF (see developments below in paragraphs 45 to 56).  </w:t>
        <w:br/>
        <w:t xml:space="preserve">36. In its aforementioned opinion No. 2018-0148, ARCEP indicates that the downstream wholesale market, consisting of 9,266 service points, represented a turnover of 185 million euros in 201622. Furthermore, it emerges from the data provided by operators during the investigation that the upstream wholesale market, consisting of approximately 1,300 service points23, represented a turnover of [12-19] million euros in the same year24.  </w:t>
        <w:br/>
        <w:t xml:space="preserve">37. Three competition development models can be identified, depending on the level of investment made by the alternative broadcaster (see opinion No. 15-A-10 of the aforementioned Authority, paragraph 30):  </w:t>
        <w:br/>
        <w:t xml:space="preserve">− service-based competition: the alternative broadcaster installs its reception, signal processing, and transmission equipment (hereinafter "basic equipment") inside or outside TDF buildings, and then uses TDF's antenna system. In this configuration, the alternative broadcaster purchases the wholesale offers "Hosting-DTT" (for hosting its basic equipment) and "DiffHF-DTT" (for using TDF's antenna system). ARCEP emphasizes in this regard that, given that upstream wholesale services represent 75% of the costs incurred by alternative broadcasters to provide their downstream services, this situation leads to a limited differentiation margin between broadcasters25. At the end of 2016, it represented 17% of the DTT service points operated by towerCast, the sole alternative broadcaster26;  </w:t>
        <w:br/>
        <w:t xml:space="preserve">− partial infrastructure competition: the alternative broadcaster installs its basic equipment inside or outside TDF buildings, as well as its own antenna system. In this configuration, the alternative broadcaster only purchases the wholesale offer "Hosting-DTT" for hosting its basic equipment, as well as for hosting its antenna system. This model, which emerged in 2010 (see opinion No. 15-A-10 of the aforementioned Authority, paragraph 28), has not been promoted since the end of 2015 (see below). At the end of 2016, it represented 45% of the DTT service points operated by towerCast27;  </w:t>
        <w:br/>
        <w:t xml:space="preserve">− total infrastructure competition: the alternative broadcaster operates its own broadcasting site. In this case, it does not subscribe to TDF's wholesale offers, of which it is independent. At the end of 2016, it represented 38% of the DTT service points operated by towerCast28.  </w:t>
        <w:br/>
        <w:t xml:space="preserve">Current state of competitive development  </w:t>
        <w:br/>
        <w:t>38. Regarding competition in the downstream market, it appears from ARCEP's activity report for the year 2016 that at the end of that same year, the only alternative broadcaster, towerCast,</w:t>
      </w:r>
    </w:p>
    <w:p>
      <w:r>
        <w:rPr>
          <w:b/>
        </w:rPr>
        <w:t>[Pages 13–15]</w:t>
      </w:r>
    </w:p>
    <w:p>
      <w:r>
        <w:t xml:space="preserve">operated nationally 22.5% of the DTT service points and that the operation led to a loss of 40% of the service points operated by alternative operators29.  </w:t>
        <w:br/>
        <w:t xml:space="preserve">39. Regarding infrastructure competition, it appears from the DTT broadcasting observatory in France published by ARCEP that at the end of 2016, 8.9% of service points were broadcast from sites alternative to those of TDF30.  </w:t>
        <w:br/>
        <w:t xml:space="preserve">40. During the investigation, towerCast indicated that by the end of 2016, it had deployed sites in 172 DTT broadcasting areas31, covering 10.6% of the 1,626 metropolitan areas. Among these sites, 24 belonged to the main network32, covering 36.4% of the replicable main network areas. Among the 129 areas of the main network, 66 may contain replicated sites. Indeed, among these areas, 64 are areas with sites deemed non-replicable by ARCEP (see the pricing annex of the reference offer DiffHF-TNT for the year 2017, concerning the non-replicable sites of the main network33), of which 1 has been replicated by Itas Tim (ARCEP opinion no. 2018-0148 cited above34).  </w:t>
        <w:br/>
        <w:t xml:space="preserve">41. The diagram reproduced below represents the evolution of the number of towerCast sites since 200835.  </w:t>
        <w:br/>
        <w:t xml:space="preserve">29 Cote 2876.  </w:t>
        <w:br/>
        <w:t xml:space="preserve">30 Cote 1695.  </w:t>
        <w:br/>
        <w:t xml:space="preserve">31 Cote 3503.  </w:t>
        <w:br/>
        <w:t xml:space="preserve">32 Cote 3504.  </w:t>
        <w:br/>
        <w:t xml:space="preserve">33 Cotes 1685-1687.  </w:t>
        <w:br/>
        <w:t xml:space="preserve">34 Cote 3447.  </w:t>
        <w:br/>
        <w:t xml:space="preserve">35 Cote 3503.  </w:t>
        <w:br/>
        <w:t xml:space="preserve">42. The data provided by ARCEP in its aforementioned opinion no. 2018-0148 lead to similar percentages: according to ARCEP, towerCast sites covered, at the end of 2016, 10.9% of the 1,626 metropolitan areas and 34.8% of the replicable main network areas36.  </w:t>
        <w:br/>
        <w:t xml:space="preserve">43. Furthermore, towerCast has invested to develop partial infrastructure competition. At the end of 2016, according to the information provided by TDF, towerCast was broadcasting 951 service points from antenna systems it had installed on sites managed by TDF.  </w:t>
        <w:br/>
        <w:t xml:space="preserve">44. The diagram reproduced below shows the evolution of the number of towerCast antenna systems installed on TDF sites37.  </w:t>
        <w:br/>
        <w:t xml:space="preserve">The regulation implemented by ARCEP  </w:t>
        <w:br/>
        <w:t xml:space="preserve">45. In its recommendation of February 11, 2003, concerning the relevant markets of products and services in the electronic communications sector that may be subject to ex ante regulation38, the European Commission considered that the wholesale market for terrestrial audiovisual broadcasting was among those that could be subject to ex ante regulation.  </w:t>
        <w:br/>
        <w:t xml:space="preserve">36 Cote 3447.  </w:t>
        <w:br/>
        <w:t xml:space="preserve">37 Cote 3483.  </w:t>
        <w:br/>
        <w:t xml:space="preserve">38 Recommendation of the Commission of February 11, 2003, concerning the relevant markets of products and services in the electronic communications sector that may be subject to ex ante regulation in accordance with Directive 2002/21/EC of the European Parliament and of the Council on a common regulatory framework for electronic communications networks and services (C(2003) 497). In subsequent recommendations from the Commission, this market was excluded from this list on the grounds that the heterogeneity of market situations in the Member States and the development of competition between platforms did not allow for the definition of a common regulatory policy (decision no. 2015-1583 of ARCEP cited above, p. 6).  </w:t>
        <w:br/>
        <w:t xml:space="preserve">46. In 2006, considering that "the establishment of an ex ante regulatory framework on the upstream wholesale market [aimed] in particular to allow competition among broadcasters to develop, making the downstream wholesale market more competitive" (decision no. 06-0160 of ARCEP of April 6, 2006, p. 8), ARCEP established an ex ante regulatory framework on the upstream wholesale market for terrestrial television broadcasting services.  </w:t>
        <w:br/>
        <w:t xml:space="preserve">47. ARCEP defined four successive sectoral regulatory frameworks, each applicable for three years. By decision dated April 16, 201939, ARCEP extended the fourth regulatory cycle by two years.  </w:t>
        <w:br/>
        <w:t xml:space="preserve">48. In this context, ARCEP imposed obligations on TDF:  </w:t>
        <w:br/>
        <w:t xml:space="preserve">− access;  </w:t>
        <w:br/>
        <w:t xml:space="preserve">− non-discrimination, implying that TDF applies equivalent conditions in equivalent circumstances to alternative operators providing equivalent services (external non-discrimination) and that TDF provides alternative operators with services and information under the same conditions and with the same quality as those it provides for its own services (internal non-discrimination) (see, in this sense, decision no. 2015-1583 of ARCEP cited above, p. 64);  </w:t>
        <w:br/>
        <w:t xml:space="preserve">− transparency, involving in particular that TDF publishes a technical and pricing reference offer for access;  </w:t>
        <w:br/>
        <w:t xml:space="preserve">− cost accounting and accounting separation;  </w:t>
        <w:br/>
        <w:t xml:space="preserve">− price control.  </w:t>
        <w:br/>
        <w:t xml:space="preserve">49. The terms of this regulation, particularly those relating to price control obligations, have evolved over time.  </w:t>
        <w:br/>
        <w:t xml:space="preserve">50. In accordance with the provisions of IV of Article L. 38 of the Postal and Electronic Communications Code, in order to assess the proportionality of the access obligation it may impose on the operator exercising significant influence in a market, ARCEP must take into account "the necessity of preserving long-term competition by paying particular attention to effective competition based on infrastructures."  </w:t>
        <w:br/>
        <w:t xml:space="preserve">51. During the first regulatory cycle (2006-2009), in order to prevent TDF from being able to unduly raise the price of its offer at sites where infrastructure competition was least likely and/or lower its price where infrastructure competition was most likely, ARCEP imposed on TDF the obligation not to practice either predatory pricing or excessive pricing (decisions no. 06-160 and no. 06-161 of ARCEP of April 6, 2006).  </w:t>
        <w:br/>
        <w:t>52. During the second regulatory cycle (2009-2012), ARCEP, observing that "the deployment of alternative infrastructures to those of TDF [depended] heavily on the typology of the sites" (decision no. 2009-0484 of ARCEP cited above, p. 53), imposed on TDF price control obligations, distinct according to whether the prices applied to replicable sites or to sites deemed non-replicable based on objective criteria. On these</w:t>
      </w:r>
    </w:p>
    <w:p>
      <w:r>
        <w:rPr>
          <w:b/>
        </w:rPr>
        <w:t>[Pages 16–18]</w:t>
      </w:r>
    </w:p>
    <w:p>
      <w:r>
        <w:t xml:space="preserve">lastly, in order to prevent TDF from benefiting from a rent, it was imposed on it to apply cost-oriented pricing. On replicable sites, ARCEP continued to prohibit TDF from applying predatory pricing or excessive pricing.  </w:t>
        <w:br/>
        <w:t xml:space="preserve">53. During the third regulatory cycle (2012-2015), ARCEP notably maintained the obligation to orient prices towards costs on a number of sites deemed non-replicable and clarified the notions of non-predation and non-excessiveness, "both to ensure TDF greater legal certainty and to allow alternative operators to better anticipate TDF's pricing developments" (decision no. 2012-1137 of ARCEP of September 11, 2012, concerning the definition of the relevant wholesale market for terrestrial digital television broadcasting services, the designation of an operator exercising significant influence on this market, and the obligations imposed on this operator in this market, p. 57). Furthermore, ARCEP lifted the prohibition on applying excessive pricing on TDF sites that had already been replicated, considering that the competitive dynamics should suffice to deter TDF from applying excessive pricing in the affected areas.  </w:t>
        <w:br/>
        <w:t xml:space="preserve">54. To define the fourth regulatory cycle (2015-2018), ARCEP estimated, in light of the reduction in the number of multiplexes, that it was "justified to consider a gradual lifting of regulation, while ensuring the economic balance of the DTT platform" (decision no. 2015-1583 of ARCEP mentioned above, p. 63). ARCEP specified that "the main objective" of the cycle was "to continue to remove barriers to infrastructure competition to encourage shared investments according to a 'tower company' model, while encouraging multiplexes [...] to fully realize the essential role they have to play in sustaining competition."  </w:t>
        <w:br/>
        <w:t xml:space="preserve">55. ARCEP thus considered it appropriate:  </w:t>
        <w:br/>
        <w:t xml:space="preserve">− "firstly, to continue to remove barriers to infrastructure competition as long as the investments made would not be specific to DTT;  </w:t>
        <w:br/>
        <w:t xml:space="preserve">− secondly, to simplify and lighten the obligations implemented in the market, in order to engage the market in a process that should ultimately lead to a lifting of ex ante regulation;  </w:t>
        <w:br/>
        <w:t xml:space="preserve">− thirdly, to ensure the necessary predictability for market players;  </w:t>
        <w:br/>
        <w:t xml:space="preserve">− fourthly, to secure past investments made by alternative broadcasters.  </w:t>
        <w:br/>
        <w:t xml:space="preserve">ARCEP believes that, in this way, it will contribute to the emergence of an efficient market, economically and technically, by allowing competition to reach a critical mass in the upstream wholesale market of DTT broadcasting, and thus fully play its role in light of the missions and regulatory objectives assigned to it by the legislator" (decision no. 2015-1583 of ARCEP mentioned above, p. 63-64).  </w:t>
        <w:br/>
        <w:t xml:space="preserve">56. Regarding pricing control obligations, ARCEP decided to maintain the obligation to orient prices towards costs on sites deemed non-replicable, as well as the obligation of non-predation on replicable sites and the obligation of non-excessiveness on non-replicated replicable sites, while no longer displaying criteria leading to the presumption of non-excessiveness of access prices (decision no. 2015-1583 of ARCEP mentioned above, p. 82).  </w:t>
        <w:br/>
        <w:t xml:space="preserve">Furthermore, ARCEP considered that, in a context of market attrition, it was justified not to encourage alternative broadcasters to invest in non-transferable and non-poolable infrastructures with activities such as radio broadcasting or hosting mobile operators' equipment. In this regard, it lifted the obligation imposed on TDF, across all its sites, to offer an alternative antenna hosting service on its towers. However, it imposed on TDF the maintenance of the antenna hosting services already offered (decision no. 2015-1583 of ARCEP mentioned above, p. 69). Finally, ARCEP decided no longer to require TDF to publish access prices for sites that had been subject to total replication. In this case, TDF must transmit this information to ARCEP and, upon request, to an alternative broadcaster other than the one that replicated its infrastructure (decision no. 2015-1583 of ARCEP mentioned above, Article 6).  </w:t>
        <w:br/>
        <w:t xml:space="preserve">The ongoing concentration movement in the sector  </w:t>
        <w:br/>
        <w:t xml:space="preserve">57. Open to competition since its launch in 2005, the DTT broadcasting sector has since experienced a continuous concentration movement.  </w:t>
        <w:br/>
        <w:t xml:space="preserve">58. In October 2006, TDF acquired its competitor Antalis TV, and then, nearly two years later, another of its competitors Emettel, an analog broadcasting operator.  </w:t>
        <w:br/>
        <w:t xml:space="preserve">59. In October 2014, Onecast, a 100% subsidiary of the TF1 group that had been providing DTT broadcasting services exclusively on the main network since 2007 (except for two sites owned outright), sold all of its assets to Itas Tim, a subsidiary of the Itas group, specialized in broadcasting infrastructures and tower construction. The number of TDF's competitors for DTT broadcasting thus decreased from three to two (see decision no. 16-D-11 of the aforementioned Authority, paragraph 56).  </w:t>
        <w:br/>
        <w:t xml:space="preserve">60. On October 13, 2016, TDF announced that it had acquired Itas Tim.  </w:t>
        <w:br/>
        <w:t xml:space="preserve">61. Consequently, there are now only two broadcasters left in the market: TDF and Towercast.  </w:t>
        <w:br/>
        <w:t xml:space="preserve">2. THE COMPANIES INVOLVED  </w:t>
        <w:br/>
        <w:t xml:space="preserve">a) TowerCast  </w:t>
        <w:br/>
        <w:t xml:space="preserve">62. The company towerCast, the complainant, is a simplified joint-stock company with a sole partner, created in 1986, registered with the Paris Trade and Companies Register under number 338 628 134 and a 100% subsidiary of the NRJ group. Historically positioned in FM radio broadcasting, it has been providing DTT broadcasting services since its launch in 2005. For all its activities, towerCast had a portfolio of 498 sites owned as of December 31, 2016.  </w:t>
        <w:br/>
        <w:t xml:space="preserve">63. For DTT broadcasting, towerCast had, as of December 31, 2017, 183 owned sites (an increase of 11 sites compared to the end of 2016 and 22 sites compared to the end of 2015), of which 13.7% were on the main DTT network.  </w:t>
        <w:br/>
        <w:t xml:space="preserve">64. As of October 31, 2017, 40% of towerCast's service points were broadcast from its own sites, with the other service points being broadcast from TDF sites, using TDF's antenna system (16% of towerCast's service points) or its own antenna system (44% of towerCast's service points).  </w:t>
        <w:br/>
        <w:t xml:space="preserve">65. In 2016, towerCast generated a revenue of 73 million euros, of which approximately 41 million euros came from its DTT broadcasting activity.  </w:t>
        <w:br/>
        <w:t xml:space="preserve">66. For the year 2017, NRJ Group anticipated a decrease in towerCast's revenue from DTT broadcasting, considering the full-year impact of the cessation of broadcasting of multiplexes R5 and R8. In fact, as of December 31, 2017, revenue had decreased by nearly 10% compared to December 31, 2016.  </w:t>
        <w:br/>
        <w:t xml:space="preserve">b) TDF  </w:t>
        <w:br/>
        <w:t xml:space="preserve">67. Created in 1975, Télédiffusion de France was initially a public industrial and commercial establishment, before becoming, in 1987, a public limited company with predominantly public capital and then, in 2004, a privately held company, renamed "TDF."  </w:t>
        <w:br/>
        <w:t xml:space="preserve">68. On March 31, 2015, the companies comprising the TDF group were sold to investment vehicles owned by a consortium composed of Brookfield Asset Management Inc. (the reference shareholder), APG Asset Management N.V., and Public Sector Pension Investment Board. On May 19, 2015, Crédit Agricole, through its subsidiary Prévoyance Dialogue du Crédit Agricole (Predica), entered the capital of TDF.  </w:t>
        <w:br/>
        <w:t xml:space="preserve">69. The shareholding is distributed as follows:  </w:t>
        <w:br/>
        <w:t xml:space="preserve">− 45% held by Brookfield Asset Management Inc.;  </w:t>
        <w:br/>
        <w:t xml:space="preserve">− 22.5% held by APG Asset Management N.V.;  </w:t>
        <w:br/>
        <w:t xml:space="preserve">− 22.5% held by Public Sector Pension Investment Board;  </w:t>
        <w:br/>
        <w:t xml:space="preserve">− 10% held by Predica.  </w:t>
        <w:br/>
        <w:t>70. These shareholders indirectly control the Luxembourg company Tivana Topco, a public limited company under Luxembourg law registered with the Luxembourg Trade and Companies Register under number B191489, located at 37a avenue J.F. Kennedy, 1855 Luxembourg, with the exception of</w:t>
      </w:r>
    </w:p>
    <w:p>
      <w:r>
        <w:rPr>
          <w:b/>
        </w:rPr>
        <w:t>[Pages 19–21]</w:t>
      </w:r>
    </w:p>
    <w:p>
      <w:r>
        <w:t xml:space="preserve">Predica, which holds a direct stake in Tivana Topco57. Tivana Topco holds 100% of the capital of the company Tivana Midco58, a limited liability company registered with the RCS of Luxembourg under number B187123, located at the same address59.  </w:t>
        <w:br/>
        <w:t xml:space="preserve">71. Tivana Midco holds 98.5% of the capital of the French holding company Tivana France Holdings60, a simplified joint-stock company. Its board of directors makes the main decisions concerning the companies of the TDF group61.  </w:t>
        <w:br/>
        <w:t xml:space="preserve">72. The company TDF Infrastructure Holding, a simplified joint-stock company with a single partner, is a 100% subsidiary of the company Tivana France Holdings62.  </w:t>
        <w:br/>
        <w:t xml:space="preserve">73. The company TDF Infrastructure, a simplified joint-stock company with a single partner, is a 100% subsidiary of the company TDF Infrastructure Holding63.  </w:t>
        <w:br/>
        <w:t xml:space="preserve">74. The company TDF, a simplified joint-stock company with a single partner, is a 100% subsidiary of the company TDF Infrastructure64. The terrestrial broadcasting activities of the TDF group are carried out by this company and its subsidiaries, including the companies of the Itas group65.  </w:t>
        <w:br/>
        <w:t xml:space="preserve">75. As of December 31, 2016, the TDF group achieved a turnover of [600-700] million euros excluding tax, a large part of which, namely [600-700] million euros excluding tax, was in France66.  </w:t>
        <w:br/>
        <w:t xml:space="preserve">76. At that date, the main activities of the group were hosting equipment for mobile operators ([200-300 million euros in turnover]), broadcasting television services ([100-200 million euros in turnover]), and broadcasting radio services ([100-200 million euros in turnover])67.  </w:t>
        <w:br/>
        <w:t xml:space="preserve">77. The turnover generated by the company TDF from its DTT broadcasting activity in France amounted to [110-130] million euros in 201668.  </w:t>
        <w:br/>
        <w:t>78. TDF has a fleet of 11,850 high points69, including 1,631 DTT broadcasting sites at the end of 201670.</w:t>
      </w:r>
    </w:p>
    <w:p>
      <w:r>
        <w:t xml:space="preserve">c) The Itas Group  </w:t>
        <w:br/>
        <w:t xml:space="preserve">79. The Itas group (hereinafter "Itas") has been active in the DTT broadcasting sector since November 2008, through its subsidiary Itas Tim71. It is also active, to a lesser extent, in the sectors of analog radio broadcasting and the design, manufacture, and installation of masts72.  </w:t>
        <w:br/>
        <w:t xml:space="preserve">80. Until its acquisition by TDF, the parent company of the group was Itas S.A.S., which indirectly held the company Itas Tim, itself the parent of several companies including Onecast73. Its business model was based on establishing alternative broadcasting sites to those of TDF (see opinion no. 15-A-10 of the Authority mentioned, paragraph 23).  </w:t>
        <w:br/>
        <w:t xml:space="preserve">81. For DTT broadcasting, Itas had, at the time of the operation, 359 owned sites (an increase of 19.3% compared to the end of 2015 and 26.9% compared to the end of 2014)74, which is more than twice the number of sites that towerCast had at that same date, which had 169 sites75. Among the 359 sites of Itas, 21 were located on the main network and 338 on the complementary network76.  </w:t>
        <w:br/>
        <w:t xml:space="preserve">82. In 2015, Itas achieved a turnover of [40-50] million euros77, of which 90% was in France78.  </w:t>
        <w:br/>
        <w:t>83. Itas was acquired by TDF Infrastructure on October 13, 201679.</w:t>
      </w:r>
    </w:p>
    <w:p>
      <w:r>
        <w:t xml:space="preserve">C. FACTS SUBJECT TO THE DISPUTE  </w:t>
        <w:br/>
        <w:t xml:space="preserve">1. THE CONCENTRATION OPERATION  </w:t>
        <w:br/>
        <w:t xml:space="preserve">84. The exclusive takeover of Itas by TDF was formalized by an investment protocol concluded on June 23, 2016, between TDF Infrastructure and Mr. Gilles Bastard and modified by an amendment on June 30, 201680. On October 13, 2016, TDF Infrastructure acquired all the shares of the company Itas, thereby materializing the takeover81.  </w:t>
        <w:br/>
        <w:t>85. Since this operation did not exceed the thresholds set out in Article L. 430-2 of the Commercial Code82, it was not subject to the prior control procedure for concentrations by the Authority provided for in Article L. 430-3 of the Commercial Code.</w:t>
      </w:r>
    </w:p>
    <w:p>
      <w:r>
        <w:t xml:space="preserve">2. THE ECONOMIC OBJECTIVES OF THE OPERATION AS STATED BY TDF  </w:t>
        <w:br/>
        <w:t xml:space="preserve">86. The economic objectives of the operation are presented in TDF's press releases of June 30 and October 13, 201683.  </w:t>
        <w:br/>
        <w:t xml:space="preserve">87. In the press release of June 30, 2016, titled "Merger between the TDF and Itas Groups"84, TDF states:  </w:t>
        <w:br/>
        <w:t xml:space="preserve">"The current competition between television broadcasting platforms, with the rise of fiber and ADSL, and the reduction of the spectrum allocated to DTT, following the second digital dividend of April 2016, compel audiovisual broadcasters to innovate and invest to ensure the sustainability of the DTT platform.  </w:t>
        <w:br/>
        <w:t xml:space="preserve">In this context, the complementarity between the expertise of TDF Group and ITAS TIM across the entire territory enriches the offering for audiovisual clients.  </w:t>
        <w:br/>
        <w:t xml:space="preserve">This merger constitutes a rational operation whose primary objective is to create value for all actors in television within a dynamic competitive landscape."  </w:t>
        <w:br/>
        <w:t xml:space="preserve">88. In the press release of October 13, 2016, titled "The TDF Group Acquires Itas"85, TDF specifies:  </w:t>
        <w:br/>
        <w:t xml:space="preserve">"With the integration of ITAS TIM, the TDF group strengthens its TV and radio broadcasting activities by equipping itself with a complementary network of nearly 400 sites spread across the entire territory. This acquisition, generating industrial synergies, allows the TDF group to maintain a high level of investment in the DTT broadcasting platform. The group thus gives itself the means to develop an innovative technological offering while controlling the broadcasting costs for its audiovisual clients."  </w:t>
        <w:br/>
        <w:t xml:space="preserve">89. TDF then emphasized that, in a context of market contraction, the pursued objective was, through the pooling of the expertise of the two groups, to achieve synergies and better sharing of infrastructures, to "maintain investments and innovation in the DTT platform (...) while preserving the diversity and complementarity of offerings," in order to "ultimately strengthen the competitiveness of the terrestrial audiovisual broadcasting ecosystem, to the benefit of all actors"86.  </w:t>
        <w:br/>
        <w:t xml:space="preserve">90. According to TDF, the TDF and Itas groups would be complementary in terms of technical expertise - the Itas group would have "high skills in project management" - and market demand - TDF would provide offers to high-quality standards and Itas Tim would have "developed a competence in low-cost offerings."82 Cote 3563.  </w:t>
        <w:br/>
        <w:t xml:space="preserve">83 Cote 3564.  </w:t>
        <w:br/>
        <w:t xml:space="preserve">84 Cote 1691.  </w:t>
        <w:br/>
        <w:t xml:space="preserve">85 Cote 69.  </w:t>
        <w:br/>
        <w:t>86 Cotes 3564 and 1840.</w:t>
      </w:r>
    </w:p>
    <w:p>
      <w:r>
        <w:rPr>
          <w:b/>
        </w:rPr>
        <w:t>[Pages 22–24]</w:t>
      </w:r>
    </w:p>
    <w:p>
      <w:r>
        <w:t xml:space="preserve">adapted to the differentiated demand of certain clients with lower expectations in terms of broadcast service quality."87  </w:t>
        <w:br/>
        <w:t xml:space="preserve">91. Furthermore, the integration of Itas Tim's broadcast sites into the DTT network would, according to TDF, allow for synergies at the level of support functions (commercial activities, project management, and commercial support of Itas Tim's sites being handled by TDF teams), maintenance of broadcast sites (maintenance of Itas Tim's sites being carried out by TDF teams), and remote management of broadcast sites (Itas Tim's remote management system being intended to disappear in the medium term).88 The synergies presented by TDF would thus result from a pooling of TDF's pre-existing functions across a greater number of sites and the elimination of corresponding functions within Itas Tim. TDF further argues that the operation would lead to a "better pooling of infrastructures."89  </w:t>
        <w:br/>
        <w:t xml:space="preserve">92. TDF thus believes that by allowing it to generate efficiency gains and strengthen investment capabilities in the DTT platform, the operation would contribute to the "maintenance of the competitiveness of the DTT ecosystem," benefiting all stakeholders whose business model is based on this technology90, in a context of increasing competitive pressure from cable platforms and a contraction of the DTT market with the removal of two multiplexes in April 201691.  </w:t>
        <w:br/>
        <w:t xml:space="preserve">93. Finally, TDF considers that the operation would benefit the multiplexes from a "more agile player, capable of offering high-quality broadcasting services at lower cost levels while maintaining a high level of investment in the platform."92  </w:t>
        <w:br/>
        <w:t xml:space="preserve">3. THE CONSEQUENCES OF THE OPERATION ON THE USE OF TDF'S SITE PARK INCREASED BY THAT OF ITAS  </w:t>
        <w:br/>
        <w:t xml:space="preserve">94. An internal presentation from TDF dated June 16, 2016, indicates that after the operation, Itas was to retain its own legal personality93, as well as all of its sites94.  </w:t>
        <w:br/>
        <w:t xml:space="preserve">95. The chosen arrangement leads TDF, in areas where it now has two broadcasting sites, to select one of the two sites for all new DTT broadcasting contracts it will conclude for that area (both in the downstream wholesale market and in the upstream wholesale market)95. After review, TDF made an arbitration for 80 areas, which were to be subject to a call for tenders in the downstream market between June 1, 2017, and May 31, 201896: TDF selected the Itas site for 39 of them97. An arbitration remains to be conducted for all remaining areas98.  </w:t>
        <w:br/>
        <w:t xml:space="preserve">96. Regarding the upstream wholesale market, two scenarios arise:  </w:t>
        <w:br/>
        <w:t xml:space="preserve">− if the selected site is that of TDF, TDF commits to include the corresponding rates in the reference offer published in accordance with decision no. 2015-1583 of the aforementioned ARCEP99. Furthermore, the upstream wholesale rates must again comply with the obligation not to impose excessive rates imposed on TDF under the aforementioned decision100;  </w:t>
        <w:br/>
        <w:t xml:space="preserve">− if the selected site is that of Itas Tim, TDF commits to formulate a tailored access offer in the upstream wholesale market, communicated to ARCEP as well as to any third-party broadcasting operator who requests it, at least one month before the first round of responses to a call for tenders concerning it101. In this case, the upstream wholesale rates must be between the thresholds of non-exclusion and non-excessiveness, imposed by the aforementioned decision102.  </w:t>
        <w:br/>
        <w:t xml:space="preserve">97. At this stage, regarding all the arbitrations made, TDF indicates that "only one broadcasting area is currently operated by Towercast on a site ultimately not selected by TDF," for a specific service point (Dijon/Nuits-Saint-Georges area, in which towerCast broadcasts multiplex R7 from the Itas Tim site103). TDF specifies that "in the event that Towercast wins the next call for tenders [for the relevant multiplex] in this area, TDF would of course be available to Towercast to study the potential consequences of transferring Towercast's equipment to the site selected by TDF."104  </w:t>
        <w:br/>
        <w:t xml:space="preserve">D. REMINDER OF THE NOTIFIED GRIEVANCE  </w:t>
        <w:br/>
        <w:t xml:space="preserve">98. On June 25, 2018, the following grievance was notified:  </w:t>
        <w:br/>
        <w:t xml:space="preserve">"It is alleged against the companies:  </w:t>
        <w:br/>
        <w:t xml:space="preserve">- TDF Infrastructure, a single-shareholder public limited company registered with the Nanterre Trade and Companies Register under number 492 520 333, located at 155bis avenue Pierre Brossolette, 92120 Montrouge, due to its direct participation;  </w:t>
        <w:br/>
        <w:t xml:space="preserve">- TDF Infrastructure Holding, a single-shareholder simplified joint-stock company registered with the Nanterre Trade and Companies Register under number 492 520 622, located at 155bis avenue Pierre Brossolette, 92120 Montrouge, in its capacity as the parent company exercising a determining influence over TDF Infrastructure;  </w:t>
        <w:br/>
        <w:t xml:space="preserve">- Tivana France Holdings, a simplified joint-stock company, registered with the Nanterre Trade and Companies Register under number 808 832 463, located at 155bis avenue Pierre Brossolette, 92120 Montrouge, due to its direct participation and in its capacity as the parent company exercising a determining influence over TDF Infrastructure;  </w:t>
        <w:br/>
        <w:t xml:space="preserve">- Tivana Midco, a limited liability company, registered with the Luxembourg Trade and Companies Register under number B187123, located at 37a avenue J.F. Kennedy, L-1855 Luxembourg, in its capacity as the parent company exercising a determining influence over TDF Infrastructure and Tivana France Holdings;  </w:t>
        <w:br/>
        <w:t xml:space="preserve">- Tivana Topco, a public limited company, registered with the Luxembourg Trade and Companies Register under number B191489, located at 37a avenue J.F. Kennedy, L-1855 Luxembourg, in its capacity as the parent company exercising a determining influence over TDF Infrastructure and Tivana France Holdings, as of October 13, 2016, as constituting a single enterprise within the meaning of competition law, of having abused the dominant position held by it in the downstream wholesale market for DTT broadcasting services, by taking exclusive control of the Itas group.  </w:t>
        <w:br/>
        <w:t xml:space="preserve">This practice is likely to have the effect of preventing, restricting, or distorting competition in the downstream wholesale market for DTT broadcasting services.  </w:t>
        <w:br/>
        <w:t xml:space="preserve">It is prohibited by Article L 420-2 of the Commercial Code and by Article 102 TFEU."  </w:t>
        <w:br/>
        <w:t xml:space="preserve">II. Discussion  </w:t>
        <w:br/>
        <w:t xml:space="preserve">A. ON THE PROCEDURE  </w:t>
        <w:br/>
        <w:t xml:space="preserve">1. ON THE REQUEST FOR HEARING UNDER ARTICLE L. 463-7 OF THE COMMERCIAL CODE  </w:t>
        <w:br/>
        <w:t xml:space="preserve">99. By a letter dated July 16, 2019, TDF's counsel requested the hearing of Mr. Bruno Lasserre, in his capacity as former president of the Authority (until September 30, 2016) and Ms. Virginie Beaumeunier, in her capacity as former general rapporteur of the Authority (until March 2, 2017) during the session of November 5, 2019, on the basis of Article L. 463-7 of the Commercial Code. They argued that this hearing would be useful for the investigation, given the exchanges that took place with the interested parties prior to the contested concentration operation in June 2016.  </w:t>
        <w:br/>
        <w:t xml:space="preserve">100. According to the second paragraph of Article L. 463-7 of the Commercial Code, "the Competition Authority may hear any person whose hearing it considers likely to contribute to its information."  </w:t>
        <w:br/>
        <w:t>101. The Court of Cassation has held, since 1999, that the hearing of witnesses is a discretion left to the appreciation of the rapporteur or the Authority, in light of the content of the file (Court of Cassation ruling of June 15, 1999, Lilly France, no. 97-15185. See also decision no. 03-D-12 of March 3, 2003, concerning the sector of prefabricated stairs in</w:t>
      </w:r>
    </w:p>
    <w:p>
      <w:r>
        <w:rPr>
          <w:b/>
        </w:rPr>
        <w:t>[Pages 25–27]</w:t>
      </w:r>
    </w:p>
    <w:p>
      <w:r>
        <w:t>concrete, paragraphs 62-63, confirmed by the judgment of the Paris Court of Appeal of November 25, 2003, SAS Préfall e.a., BOCCRF of March 12, 2004, confirmed by the judgment of the Court of Cassation of February 22, 2005, SAS Préfall e.a., no. 03-20.928. See also, in this sense, the judgment of the Court of Cassation of March 5, 1996, company Total e.a., no. 94-17.699, the judgment of the Paris Court of Appeal of October 11, 2012, company Entreprise H. Chevalier nord, no. 2011/03298, p. 38, not challenged on this point by the judgment of the Court of Cassation of February 18, 2014, company Entreprise Pradeau et Morin e.a., no. 12-27.634 and by the judgment of the Court of Appeal of May 28, 2015, company Degaine S.A.S. e.a., no. 2014/09272, the judgment of the Paris Court of Appeal of June 24, 2014, company E-Kanopi, no. 2013/06758, p. 5, confirmed by the judgment of the Court of Cassation of January 19, 2016, company E-Kanopi, no. 14-21.670, p. 7).</w:t>
      </w:r>
    </w:p>
    <w:p>
      <w:r>
        <w:t>102. In this case, the Authority considered that in light of the elements present in the file, it could rule on the case without the requested hearing being necessary.</w:t>
      </w:r>
    </w:p>
    <w:p>
      <w:r>
        <w:t>2. ON THE MINUTES OF THE HEARING OF OCTOBER 11, 2019</w:t>
      </w:r>
    </w:p>
    <w:p>
      <w:r>
        <w:t>103. It appears from the elements of the file that a hearing of the representatives of multiplex R7 was conducted by the investigation services on October 11, 2019, the day of the sending of the summons to the parties for the session.</w:t>
      </w:r>
    </w:p>
    <w:p>
      <w:r>
        <w:t>104. By a letter dated October 31, 2019, the company TDF argued that it had only been able to access the minutes of the hearing on October 22, 2019, less than 15 days before the session of November 5, 2019. It contended that this hearing had been conducted in violation of the adversarial nature of the procedure, since on the one hand, the investigation services cannot, according to it, introduce new elements into the debates after the notification of grievances, and all the more so after the report, and on the other hand, that the parties had not been given sufficient time to present their observations. However, in the same letter, the company TDF produced an economic note in response to the statements of the representatives of multiplex R7 during their hearing on October 11, 2019.</w:t>
      </w:r>
    </w:p>
    <w:p>
      <w:r>
        <w:t>105. In this case, the Authority deemed that this hearing was not essential to the debates and decided to exclude the hearing minutes from the discussions, without ruling on the respect, in this case, of the adversarial nature of the procedure.</w:t>
      </w:r>
    </w:p>
    <w:p>
      <w:r>
        <w:t>B. ON THE COMPETENCE OF THE AUTHORITY TO EXAMINE THE ACQUISITION OF ITAS BY TDF ON THE BASIS OF ARTICLES L. 420-2 OF THE COMMERCIAL CODE AND 102 OF THE TFEU</w:t>
      </w:r>
    </w:p>
    <w:p>
      <w:r>
        <w:t>106. As indicated in paragraph 85, the acquisition of Itas by TDF did not exceed the French thresholds for ex ante control of concentrations defined in Article L. 430-2 of the Commercial Code, nor the thresholds defined in Article 1 of Council Regulation (EC) No. 139/2004 of January 20, 2004 (hereinafter "Regulation No. 139/2004"). It therefore did not undergo notification or examination under the prior control of concentrations.</w:t>
      </w:r>
    </w:p>
    <w:p>
      <w:r>
        <w:t>107. According to the investigation services, this concentration operation carried out "below the thresholds" would, in itself, constitute an abuse of a dominant position within the meaning of the so-called "Continental Can" jurisprudence of the Court of Justice of the European Union (see below), in that it allowed for a strengthening of TDF's dominant position and violates by itself the provisions of Articles 102 of the TFEU (1) and L. 420-2 of the Commercial Code (2).</w:t>
      </w:r>
    </w:p>
    <w:p>
      <w:r>
        <w:t>1. ON THE APPLICATION OF ARTICLE 102 OF THE TFEU</w:t>
      </w:r>
    </w:p>
    <w:p>
      <w:r>
        <w:t>108. Article 102 of the TFEU (formerly Article 82 of the EC Treaty and Article 86 of the EEC Treaty) provides that "is incompatible with the internal market and prohibited, insofar as trade between Member States may be affected, the act for one or more undertakings to exploit abusively a dominant position on the internal market or in a substantial part of it. These abusive practices may consist in particular of: a) directly or indirectly imposing unfair purchase or selling prices or other unfair trading conditions, b) limiting production, outlets or technical development to the detriment of consumers, c) applying to trading partners unequal conditions for equivalent services, thereby placing them at a competitive disadvantage, d) making the conclusion of contracts subject to the acceptance by partners of additional services which, by their nature or according to commercial usage, have no link with the subject of these contracts."</w:t>
      </w:r>
    </w:p>
    <w:p>
      <w:r>
        <w:t>109. By a decision of December 9, 1971, the European Commission considered, on the basis of Article 86 of the EEC Treaty (now Article 102 of the TFEU), and in the absence of a European system of control of concentrations, that the company Continental Can had abused its dominant position by acquiring one of its competitors, thereby practically eliminating competition in the relevant market in a substantial part of the common market (European Commission decision of December 9, 1971, Continental Can Company, 72/21/EEC).</w:t>
      </w:r>
    </w:p>
    <w:p>
      <w:r>
        <w:t>110. Seized of an appeal filed by the company Continental Can, the Court of Justice confirmed the possibility of applying Article 86 of the EEC Treaty to concentration operations, holding that "the act, by an undertaking in a dominant position, of reinforcing that position to the point that the degree of dominance thus achieved would substantially impede competition, that is to say, would leave only dependent undertakings in their behavior, of the dominant undertaking" (judgment of the Court of Justice of February 21, 1973, Continental Can Company e.a., C-6/72, Rec. 1973 00215, point 26). However, it annulled the decision of the European Commission on the grounds that it had not "sufficiently established the facts and assessments on which it [was] based" (judgment of the Court of Justice of February 21, 1973, cited above, point 37).</w:t>
      </w:r>
    </w:p>
    <w:p>
      <w:r>
        <w:t>111. It should be noted, however, that this judgment, while it has never been formally challenged by subsequent jurisprudence of the Court of Justice, was rendered prior to the adoption of Council Regulation (EEC) No. 4064/89 of December 21, 1989 (hereinafter "Regulation No. 4064/89") which introduced, for the first time, a European system of control of concentrations and was subsequently amended by Regulation No. 139/2004 currently in force. The system established by Regulation No. 4064/89 made it mandatory to notify a certain number of operations of European dimension to the European Commission. The regulation also organizes the distribution of competences between the European Commission and national competition authorities to ensure consistency in the implementation of the rules for ex ante control of concentrations as well as legal certainty for businesses.</w:t>
      </w:r>
    </w:p>
    <w:p>
      <w:r>
        <w:t>112. The intention of the Union legislator when adopting this regulation is notably expressed in its recitals. It is thus indicated that while the completion of the internal market will lead to significant restructuring of businesses, notably concentrations, a positive evolution as it meets the needs of dynamic competition, it is nevertheless necessary to ensure that competition is not distorted in the common market, by establishing in Community law "provisions applicable to concentration operations that may significantly impede effective competition in the common market" (recital 5); recital 6 notes that "Articles 85 and 86, while being applicable, according to the jurisprudence of the Court of Justice of the European Communities, to certain concentrations, are however not sufficient to capture all operations that may prove incompatible with the undistorted competition regime aimed at by the treaty"; recital 7 indicates that "therefore, it is necessary to create a new legal instrument in the form of a regulation that allows for effective control of all concentration operations based on their effect on the structure of competition in the Community and that is the only one applicable to such concentrations"; finally, recital 8 specifies that "this regulation must therefore be based not only on Article 87 but primarily on Article 235 of the treaty, under which the Community may acquire the additional powers of action necessary to achieve its objectives."</w:t>
      </w:r>
    </w:p>
    <w:p>
      <w:r>
        <w:t>113. The overall economy of Regulation No. 4064/89 can thus be summarized.</w:t>
      </w:r>
    </w:p>
    <w:p>
      <w:r>
        <w:t>114. All operations above certain thresholds, defined in terms of turnover in Article 1 of the regulation, are mandatorily subject to prior control by the Commission.</w:t>
      </w:r>
    </w:p>
    <w:p>
      <w:r>
        <w:t>115. A possibility for the Commission to refer an operation of European dimension to the Member States is nevertheless provided for in Article 9, under which "the Commission may, by way of a decision which it notifies without delay to the undertakings concerned and of which it informs the competent authorities of the other Member States, refer to the competent authorities of the Member State concerned a case of notified concentration."</w:t>
      </w:r>
    </w:p>
    <w:p>
      <w:r>
        <w:t>116. When the concentration is not of European dimension, it is up to the Member States to examine this operation in accordance with their national law, which may also define both the mandatory thresholds or triggering elements of control and its procedural modalities.</w:t>
      </w:r>
    </w:p>
    <w:p>
      <w:r>
        <w:t>117. Regulation No. 4064/89 also provides, in Article 22, a clause allowing Member States to refer to the European Commission a concentration operation, as defined in Article 3 but without community dimension within the meaning of Article 1, which creates or strengthens a dominant position resulting in significant impediment to effective competition in the territory of the concerned Member State.</w:t>
      </w:r>
    </w:p>
    <w:p>
      <w:r>
        <w:t>118. Article 22 further specifies that Regulation No. 4064/89 is the only one applicable to concentration operations as defined in Article 3, Regulation No. 17/62 implementing Articles 85 and 86 of the EEC Treaty not being applicable to concentrations as defined in Article 3.</w:t>
      </w:r>
    </w:p>
    <w:p>
      <w:r>
        <w:t>119. According to Article 3 of Regulation No. 4064/89, a concentration operation is realized when two or more previously independent undertakings merge or when one or more persons already controlling at least one undertaking, or one or more undertakings, acquire directly or indirectly, whether by taking stakes in the capital or purchasing assets, contracts or by any other means, control of all or parts of one or more other undertakings.</w:t>
      </w:r>
    </w:p>
    <w:p>
      <w:r>
        <w:rPr>
          <w:b/>
        </w:rPr>
        <w:t>[Pages 28–30]</w:t>
      </w:r>
    </w:p>
    <w:p>
      <w:r>
        <w:t xml:space="preserve">120. Regulation No. 139/2004, which replaced Regulation No. 4064/89, has maintained the same general inspiration and has clarified and supplemented this framework.  </w:t>
        <w:br/>
        <w:t xml:space="preserve">121. Article 1 of Regulation No. 139/2004 defined the thresholds, expressed in terms of turnover, above which a concentration operation is subject to the control of the Commission.  </w:t>
        <w:br/>
        <w:t xml:space="preserve">122. Article 9 provides for the possibility of referral by the Commission of a concentration operation of European dimension to the Member States.  </w:t>
        <w:br/>
        <w:t xml:space="preserve">123. Regulation No. 139/2004 also provides for two clauses allowing for the referral to the Commission, at the initiative of the parties or the Member States, of a concentration operation lacking European dimension.  </w:t>
        <w:br/>
        <w:t xml:space="preserve">124. Firstly, if such an operation is likely to be examined under the national competition law of at least three Member States, the notifying parties may, pursuant to Article 4, paragraph 5, before any notification to the competent authorities, inform the Commission, by means of a reasoned memorandum, that the concentration should be examined by it.  </w:t>
        <w:br/>
        <w:t xml:space="preserve">125. Secondly, Article 22 provides that one or more Member States may request the Commission to examine any concentration, as defined in Article 3, which does not have a Community dimension within the meaning of Article 1, but affects trade between Member States and threatens to significantly affect competition in the territory of the Member State or States making this request. This referral clause applies, in principle, even if the concentration operation in question would not be subject to mandatory notification in the Member State initiating the referral.  </w:t>
        <w:br/>
        <w:t xml:space="preserve">126. Furthermore, it should be noted that while Regulation No. 139/2004 and Regulation No. 1/2003 of the Council of December 16, 2002, concerning the implementation of the competition rules provided for in Articles 81 and 82 of the EC Treaty are part of a legislative framework aimed at implementing Articles 101 and 102 TFEU, the adoption of Regulation No. 4064/89, as early as 1989, established a clear line of demarcation between the control of concentrations and the control of anti-competitive practices.  </w:t>
        <w:br/>
        <w:t xml:space="preserve">127. As previously seen, Article 22 of Regulation No. 4064/89 indeed provided that the regulation was solely applicable to concentration operations as defined in Article 3, with Regulation No. 17/62 implementing Articles 85 and 86 of the EEC Treaty, which notably set out in Article 15 the conditions under which the Court could sanction agreements and concerted practices and abuses of dominant position, not being applicable to concentrations as defined. These provisions were incorporated into Article 21, paragraph 1, of Regulation No. 139/2004, which reaffirms that Regulation No. 1/2003 does not apply to concentrations as defined in Article 3, except in the case of the creation of a joint venture that does not have a European dimension and which has the object or effect of coordinating the competitive behavior of independent companies.  </w:t>
        <w:br/>
        <w:t xml:space="preserve">128. Moreover, Article 3 of Regulation No. 139/2004, just like Article 3 of Regulation No. 4064/89, defines a concentration operation according to a material criterion and not by reference to the thresholds defined in Article 1 of the regulation. A concentration operation is thus deemed to have occurred when a lasting change of control results from the merger of two or more companies or parts of such companies or from the acquisition, by one or more persons already holding control of at least one company or by several companies, of direct or indirect control of all or parts of one or more other companies, whether by means of shareholdings or the purchase of assets, contracts, or any other means.  </w:t>
        <w:br/>
        <w:t xml:space="preserve">129. It should be noted in this regard that in her conclusions presented on April 27, 2017, in the Austria Asphalt case, Advocate General Ms. Juliane Kokott recalled that "both Regulation No. 139/2004 and its 'cousin' Regulation No. 1/2003 ultimately contribute to the implementation of the competition rules for the internal market provided for in Articles 101 and 102 TFEU, it being specified that it is always only one of these two regulations that can apply (see in this regard, Article 21, paragraph 1, of Regulation No. 139/2004). While, within the scope of Regulation No. 139/2004, a preventive and mandatory system of ex ante control of changes in market structure has been established, the behavior of companies in the market – whether it concerns collusive behavior or unilateral abuses of dominant position – falls, moreover, exclusively, under Regulation No. 1/2003, under a repressive ex post control, the implementation of which also depends on the discretion of the competition authorities. As stated in Article 21, paragraph 1 of Regulation [2004], the notion of 'concentration' within the meaning of Article 3 of Regulation [2004] delineates the line between these two sub-domains of Union competition law [cf. footnote above]. A reading of Article 3 of Regulation [2004] consistent with this logic therefore requires interpreting the notion of 'concentration' in such a way that only genuine changes in market structure are subject to concentration control, and not, on the contrary, the mere behavior of companies in the market" (Case C-248/16, paragraphs 35 to 37, emphasis added). And in its Austria Asphalt judgment of September 7, 2017 (C-248/16, paragraph 31), the Court recalled, regarding Regulation No. 139/2004, that "the said regulation, just like, in particular, Regulation (EC) No. 1/2003, is part of a legislative framework aimed at implementing Articles 101 and 102 TFEU as well as establishing a control system ensuring that competition is not distorted in the internal market of the Union."  </w:t>
        <w:br/>
        <w:t xml:space="preserve">130. It could, of course, be argued that Article 102 TFEU could be applied by the Authority to concentration operations, insofar as the Court of Justice has considered, since 1974, that this article had direct effect and could therefore be invoked directly before national courts (Judgment of the Court of Justice of January 30, 1974, BRT/SABAM, C-127/73, Rec. 1974 00051, paragraph 16). The Court of Justice has also not formally called into question the principles established by the Continental Can case law.  </w:t>
        <w:br/>
        <w:t xml:space="preserve">131. Nevertheless, as can be seen from the developments outlined above, it should be considered that the adoption of a concentration control framework at the level of the European Union has, de facto, rendered the application of the aforementioned Continental Can case law obsolete, the provisions of Regulation No. 4064/89, and then Regulation No. 139/2004 being intended to apply to all concentrations as defined in Article 3, that is to say, regardless of their Community dimension.  </w:t>
        <w:br/>
        <w:t xml:space="preserve">132. In this regard, reference should be made to the statements of the European Union legislator during the adoption of Regulation No. 4064/89.  </w:t>
        <w:br/>
        <w:t xml:space="preserve">133. Thus, "the Commission states that it does not normally intend to apply Articles 85 and 86 of the Treaty establishing the European Economic Community to concentrations as defined in Article 3 other than through this regulation. However, it reserves the right to intervene, in accordance with the procedures provided for in Article 89 of the Treaty, for concentration operations as defined in Article 3 but without Community dimension within the meaning of Article 1, in cases not provided for in Article 22. It does not, in any case, intend to intervene in respect of operations below a global turnover level of 2 billion Ecus or below a minimum Community turnover level of 100 million Ecus or not meeting the two-thirds threshold provided for in Article 1, paragraph 2, last part of the sentence, considering that such operations would normally not be likely to significantly affect trade between Member States" (emphasis added).  </w:t>
        <w:br/>
        <w:t xml:space="preserve">134. Similarly, "The Council and the Commission note that the Treaty establishing the European Economic Community contains no provision specifically aimed at the prior control of concentrations. The Council has therefore decided, on the proposal of the Commission, in accordance with the procedure provided for in Article 235 of the Treaty, to establish a new concentration control framework. The Council and the Commission consider, for compelling reasons of legal certainty, that this new regulation will be solely and exclusively applicable to concentrations as defined in Article 3" (emphasis added).  </w:t>
        <w:br/>
        <w:t xml:space="preserve">135. As previously seen, Article 3 of the regulation defining concentration operations only according to a material criterion, without reference to the thresholds of Article 1, the Council and the Commission clearly marked, by this last statement, their intention not to apply Article 86 of the EEC Treaty to concentration operations. The Commission has complied with this and has not applied Article 86 of the EEC Treaty (now Article 102 TFEU) to concentration operations after the entry into force of Regulation No. 4064/89.  </w:t>
        <w:br/>
        <w:t xml:space="preserve">136. The Competition Council has, for its part, already ruled on this issue, in Decision No. 99-D-69 of November 23, 1999, concerning the implementation of differentiated reimbursements in optics and the issue of the communication of agreements signed between mutuals and opticians. In this decision, the Council indeed considered that Regulation No. 4064/89, concerning concentrations without Community dimension, provided for the possibility for Member States to refer to the Commission in cases where the operation would hinder competition in the territory of that State and affect trade between Member States, but that no provision granted national competition authorities the competence to directly apply Articles 81 and 82 of the Treaty to such concentrations: "concerning concentrations of Community dimension, Article 9 organizes a referral procedure, at their request, to the competent authorities of the Member States, of operations that may hinder competition in their national market; that Article 21-3 also opens the possibility for Member States to take appropriate measures to ensure the protection of legitimate interests other than those taken into consideration by the regulation; Considering that, concerning concentrations without Community dimension, the provisions of Article 22-3 of the regulation provide for the extension of the Commission's competence to intervene, at the request of a Member State, regarding such concentrations in cases where they produce a significant hindrance to competition in the territory of that Member State and to the extent that they affect trade between Member States; Considering, therefore, that no provision assigns to the authorities of the Member States specifically responsible for applying their competition law the competence to examine concentration operations on the basis of Articles 81 and 82 of the EEC Treaty, even if these operations would not have a Community dimension."  </w:t>
        <w:br/>
        <w:t>137. In doing so, the Council followed the reasoning adopted a few years earlier by the British courts (Judgment of December 4, 1992, Court of Appeal, Civil Division, Regina v</w:t>
      </w:r>
    </w:p>
    <w:p>
      <w:r>
        <w:rPr>
          <w:b/>
        </w:rPr>
        <w:t>[Pages 31–33]</w:t>
      </w:r>
    </w:p>
    <w:p>
      <w:r>
        <w:t xml:space="preserve">Secretary of State for Trade and Industry, ex parte Airlines of Britain Holdings Pic and Another).  </w:t>
        <w:br/>
        <w:t xml:space="preserve">138. The aforementioned conclusions of Advocate General Ms. Juliane Kokott presented on April 27, 2017, in the case Austria Asphalt also support this view (case C-248/16, see in particular footnote no. 18).  </w:t>
        <w:br/>
        <w:t xml:space="preserve">139. It should finally be noted that while the Court cited the "continental Can" jurisprudence in the General Electric case in 2005, it did not apply it to the case at hand (judgment of the Court of the European Union of December 14, 2005, General Electric, T-210/01, Rec. 2005 II-05575, paragraph 86).  </w:t>
        <w:br/>
        <w:t xml:space="preserve">140. Consequently, it must be considered that the establishment, at the European level, of a prior control system for concentrations by Regulation No. 4064/89, particularly informed by the statements of the Council and the Commission during the adoption of the regulation, has rendered the application of Article 102 TFEU to a concentration operation moot, in the absence of distinct behavior by the company involved following this operation.  </w:t>
        <w:br/>
        <w:t xml:space="preserve">2. ON THE APPLICATION OF ARTICLE L. 420-2 OF THE COMMERCIAL CODE  </w:t>
        <w:br/>
        <w:t xml:space="preserve">141. According to Article L. 420-2 of the Commercial Code, "the abusive exploitation by a company or a group of companies of a dominant position on the internal market or a substantial part of it is prohibited under the conditions provided for in Article L. 420-1. Such abuses may consist in particular of refusal to sell, tied sales, or discriminatory sales conditions as well as the termination of established commercial relationships solely because the partner refuses to submit to unjustified commercial conditions. Furthermore, the abusive exploitation by a company or a group of companies of the state of economic dependence in which a customer or supplier company finds itself in relation to it is also prohibited, as long as it is likely to affect the functioning or structure of competition. Such abuses may consist in particular of refusal to sell, tied sales, discriminatory practices referred to in Articles L. 442-1 to L. 442-3, or range agreements."  </w:t>
        <w:br/>
        <w:t xml:space="preserve">142. As a preliminary point, it should be recalled that Ordinance No. 86-1243 of December 1, 1986, relating to price and competition freedom established optional control of concentration operations, with Article 38 specifying that "any concentration project or any concentration likely to harm competition, particularly by creating or strengthening a dominant position, may be submitted, by the minister responsible for the economy, to the opinion of the Competition Council." For the operation to be subject to control, the market shares of the parties to the concentration had to exceed 25% or the companies concerned had to achieve a turnover excluding taxes of more than seven billion francs, provided that at least two of the companies involved in the concentration had achieved a turnover of at least two billion francs. Under Article 40, any concentration project or any concentration not dating back more than three months could be submitted to the minister responsible for the economy by a concerned company.  </w:t>
        <w:br/>
        <w:t xml:space="preserve">143. The adoption of Law No. 2001-420 of May 15, 2001, relating to new economic regulations, known as the "NRE Law," marked the transition from optional control to mandatory control, and the abandonment of a threshold defined based on the market shares of the companies concerned in favor of a threshold determined solely based on the turnover of the companies concerned. This reform aimed in particular to strengthen the legal certainty of companies.  </w:t>
        <w:br/>
        <w:t xml:space="preserve">144. Law No. 2008-776 of August 4, 2008, modernizing the economy, known as the "LME Law," transferred the competence to implement control of concentration operations from the minister responsible for the economy to the Authority.  </w:t>
        <w:br/>
        <w:t xml:space="preserve">145. By Decision No. 93-D-29 of July 6, 1993, concerning four referrals regarding the market for cinema operation, the Competition Council, after recalling that it could only be seized of a request for an opinion concerning a concentration if it emanated from the minister of economy, concluded that it could not therefore consider the referral as it concerned the reciprocal transfer of cinemas between the companies Gaumont and Pathé Cinéma or some of their subsidiaries, constituting a concentration operation under Article 39 of the Ordinance of December 1, 1986.  </w:t>
        <w:br/>
        <w:t xml:space="preserve">146. In the context of the appeal against this decision, the Paris Court of Appeal confirmed this analysis, emphasizing that "the procedures provided for in Title III relating to the control of agreements and in Title V relating to the control of concentrations are different and incompatible with each other" and concluded that "it follows from the combination of the texts of Title III and those of Title V that operations meeting the definition of concentration in Article 39 of Title V are excluded from the jurisdiction of the Council ruling in contentious matters" (judgment of the Paris Court of Appeal of June 28, 1994, French Association of Film and Audiovisual Producers et al., No. 93/08166, p. 10).  </w:t>
        <w:br/>
        <w:t xml:space="preserve">147. It should be specified in this regard that Article 39 of the Ordinance of December 1, 1986 defines concentration according to a material criterion and not by reference to a threshold: "concentration results from any act, whatever its form, that entails the transfer of ownership or enjoyment of all or part of the assets, rights, and obligations of a company or that has the object or effect of enabling a company or a group of companies to exercise, directly or indirectly, a decisive influence over one or more other companies."  </w:t>
        <w:br/>
        <w:t xml:space="preserve">148. The principle was subsequently confirmed by the Court of Cassation, which noted that "the litigating parties having not reported any illicit practices arising from these agreements that could be the subject, if necessary, of a separate referral to the Competition Council on the basis of Articles 7 and 8 of the Ordinance, it is rightly that the Court of Appeal, without incurring the grievances of the means, declared inadmissible before the Competition Council the referrals concerning these economic concentration operations" (judgment of the Court of Cassation of November 26, 1996, No. 94-20055).  </w:t>
        <w:br/>
        <w:t xml:space="preserve">149. This jurisprudential solution has been reiterated in several decisions of the Competition Council (decisions of the Competition Council No. 98-MC-06 of July 1, 1998, concerning a request for interim measures presented by the company SeaFrance, No. 99-D-04 of January 19, 1999, concerning the referral of SA Europe Régies, No. 99-D-69 of November 23, 1999, concerning the implementation of differentiated reimbursements in the optical sector and the issue of the communication of agreements signed between mutuals and opticians, No. 10-D-32 of November 16, 2010, concerning practices implemented in the pay television sector).  </w:t>
        <w:br/>
        <w:t xml:space="preserve">150. It is worth noting that while, in certain cases that led the Competition Council to reaffirm this point of law, the operation in question may have been effectively submitted for examination before the then competent minister of economy, the reasoning followed by the Competition Council was not based solely on this circumstance to exclude the application of Article L. 420-2 of the Commercial Code but rather on the articulation of the provisions of Title III relating to the control of agreements with those of Title V relating to the control of concentrations.  </w:t>
        <w:br/>
        <w:t xml:space="preserve">151. It thus emerges from the jurisprudence and the decision-making practice of the Authority that the procedures applicable to concentrations on the one hand, and to the repression of anti-competitive practices on the other hand, are incompatible and irreconcilable with each other.  </w:t>
        <w:br/>
        <w:t xml:space="preserve">152. The Authority cannot therefore, on the basis of Article L. 420-2 of the Commercial Code, consider that a concentration, even if it does not reach the national thresholds set out in Article L. 430-2 of the Commercial Code, constitutes, in itself, an abuse of a dominant position.  </w:t>
        <w:br/>
        <w:t xml:space="preserve">153. Article L. 430-9 of the Commercial Code (former Article 43 of the aforementioned Ordinance of December 1, 1986) allows the Authority, in cases of abusive exploitation of a dominant position or a state of economic dependence, to order, by reasoned decision, the company or group of companies involved to modify, supplement, or terminate, within a specified period, all agreements and all acts by which the concentration of economic power that allowed the abuses was realized, even if these acts have been subject to the procedure provided for in this title. The Authority has indeed applied this article (in its then applicable wording, which has since been amended) in Decision No. 02-D-44 of July 11, 2002, concerning the state of competition in the drinking water and sanitation sectors, particularly regarding the pooling of resources to respond to calls for competition.  </w:t>
        <w:br/>
        <w:t xml:space="preserve">154. The application of this article is nevertheless conditional upon the existence of an abuse that is separable from the concentration itself, which is not demonstrated in this case. The position taken by the investigation services is indeed based on a challenge to the concentration operation itself, and not on the demonstration of abusive practices that would have been separable from this concentration.  </w:t>
        <w:br/>
        <w:t xml:space="preserve">C. CONCLUSION  </w:t>
        <w:br/>
        <w:t xml:space="preserve">155. It follows from all these elements that, both in European Union law and in national law, concentration operations are governed by a set of specific rules, differing from the control of anti-competitive practices.  </w:t>
        <w:br/>
        <w:t xml:space="preserve">156. Thus, a concentration operation may be subject to prior control by the Authority or by the European Commission as long as the thresholds set by Article L. 430-2 of the Commercial Code or Article 1 of Regulation No. 139/2004 are exceeded.  </w:t>
        <w:br/>
        <w:t xml:space="preserve">157. A concentration operation that does not reach the thresholds defined in Article 1 of Regulation No. 139/2004 may be referred to the Commission when the conditions set out in Article 22 of the aforementioned regulation are met, even if it is not subject to mandatory notification under the provisions of the Commercial Code. It should be noted that in this case, the Authority did not find it useful to refer the disputed acquisition operation to the European Commission on the basis of Article 22 of Regulation No. 139/2004.  </w:t>
        <w:br/>
        <w:t>105 This decision was first confirmed by the judgment of the Paris Court of Appeal of February 18, 2003, Compagnie générale des eaux, No. 2002/14535, and then overturned by the judgment of the Court of Cassation of July 12, 2004, No. 03-12409, the Court having considered that decisions made on the basis of Article L. 430-9 of the Commercial Code are only subject to appeal before the administrative judge. When seized by Compagnie générale des eaux, the Council of State rejected its appeal by a judgment of November 7, 2005, No. 271982.</w:t>
      </w:r>
    </w:p>
    <w:p>
      <w:r>
        <w:rPr>
          <w:b/>
        </w:rPr>
        <w:t>[Pages 34–35]</w:t>
      </w:r>
    </w:p>
    <w:p>
      <w:r>
        <w:t xml:space="preserve">158. Thus, ultimately and in the current state of the law, a concentration operation cannot, in itself, constitute an abuse of a dominant position under Articles 102 TFEU and L. 420-2 of the Commercial Code, even if it has not been subject to mandatory notification to the Competition Authority or the European Commission, pursuant to the thresholds defined by Articles L. 430-2 of the Commercial Code and 1 of Regulation No. 139/2004.  </w:t>
        <w:br/>
        <w:t xml:space="preserve">159. Behaviors implemented by a company in a dominant position, which are separable from the concentration itself but permitted by it, may be subject to scrutiny for anti-competitive practices and may be deemed, where applicable, to constitute an abuse of a dominant position, based on Articles L. 420-2 of the Commercial Code or 102 TFEU. Furthermore, based on Article L. 430-9 of the Commercial Code, a concentration that has allowed abuses may be challenged, even if it was authorized ex ante, if the company involved has committed an abusive exploitation of a dominant position or a state of economic dependence. The concentration that has allowed the abuses cannot, in light of the wording of these provisions, itself constitute an abuse.  </w:t>
        <w:br/>
        <w:t xml:space="preserve">160. It follows from all of the above that the concentration operation constituted by TDF's acquisition of Itas, which does not exceed the European thresholds defined in Article 1 of Regulation No. 139/2004, nor the French thresholds defined in Article L. 430-2 of the Commercial Code, could not be subject to prior control except in the case of a referral of the examination of this operation by the Authority to the Commission based on Article 22 of Regulation No. 139/2004. It is not, in itself, constitutive of an abuse of a dominant position under Articles 102 TFEU and L. 420-2 of the Commercial Code. Finally, Article L. 430-9 of the Commercial Code cannot be applied, as no abusive behavior separable from the concentration itself has been demonstrated.  </w:t>
        <w:br/>
        <w:t>161. Consequently, the Authority considers that the complaint notified against the companies of the TDF group is unfounded.</w:t>
      </w:r>
    </w:p>
    <w:p>
      <w:r>
        <w:t xml:space="preserve">DECISION  </w:t>
        <w:br/>
        <w:t xml:space="preserve">Sole Article: The practice of abuse of a dominant position is not established. There is therefore no need to continue the procedure.  </w:t>
        <w:br/>
        <w:t xml:space="preserve">Deliberated following the investigation by Ms. Élisabeth Marescaux-Bertrand and Mr. David Dubois, rapporteurs, on the oral report of Mr. Pablo Gonzalez Perez, Mr. Cédric Nouël de Buzonnière, rapporteurs, and the intervention of Mr. Stanislas Martin, general rapporteur, by Ms. Isabelle de Silva, president, Ms. Fabienne Siredey-Garnier, Ms. Irène Luc, and Mr. Henri Piffaut, vice-presidents, Ms. Valérie Bros, Ms. Sandra Lagumina, Ms. Séverine Larere, Ms. Catherine Prieto, and Mr. Alexandre Menais, members.  </w:t>
        <w:br/>
        <w:t xml:space="preserve">The session secretary, The president,  </w:t>
        <w:br/>
        <w:t xml:space="preserve">Armelle Hillion 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