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https://www.autoritedelaconcurrence.fr/fr/decision/relative-une-saisine-de-la-confederation-syndicale-du-cadre-de-vie</w:t>
      </w:r>
    </w:p>
    <w:p>
      <w:r>
        <w:t>Pages translated : 7</w:t>
      </w:r>
    </w:p>
    <w:p/>
    <w:p>
      <w:r>
        <w:rPr>
          <w:b/>
        </w:rPr>
        <w:t>[Pages 1–3]</w:t>
      </w:r>
    </w:p>
    <w:p>
      <w:r>
        <w:t>Treasury, which will then seek reimbursement from the party liable for costs" (art. 2).</w:t>
      </w:r>
    </w:p>
    <w:p>
      <w:r>
        <w:t>The remuneration for social investigations is included in the costs of the proceedings and will generally be borne by the losing party (art. 695-4° and 696). If the losing party benefits from legal aid, the costs will be borne by the State (art. 24 and 40 of Law no. 91-647 of July 10, 1991). The remuneration of social investigators is normally subject to VAT, except in medical matters and in certain specific cases. Upon the appointment of the investigator, the judge sets an advance payment against their remuneration as close as possible to their anticipated final remuneration (art. 269). At the time of the report submission, the investigator presents a request for remuneration. This is a detailed account specifying all types of expenses and the fees claimed, broken down according to the nature of the services: meetings, office study, report writing, secretarial work, etc. The judge sovereignly determines the investigator's remuneration, taking into account the justifications provided, and authorizes them to receive, up to the appropriate amount, the sums deposited with the registry. Article 284 of the NCPC, as amended by decree no. 98-1231 of December 28, 1998, specifies that the investigator's remuneration is determined based on, among other things, the diligence performed, adherence to deadlines, and the quality of the work provided. The judge may grant the investigator the full amount of their request if it seems justified, just as they may decide to reduce it. Decree no. 98-1231 of December 28, 1998, formalized the practice of certain courts inviting the investigator to provide their observations when the judge considers setting their remuneration at an amount lower than the amount requested.</w:t>
      </w:r>
    </w:p>
    <w:p>
      <w:r>
        <w:t>The settlement of disputes relating to the remuneration of technicians is provided for by Article 724 of the NCPC. An appeal against decisions setting the expert's remuneration is available before the first president of the court of appeal. It can be exercised by both the parties and the expert. This magistrate rules sovereignly on the amount of fees and expenses based on the supporting documents provided to him. According to a detailed study by the Ministry of Justice, the total sum of remunerations granted to experts in 1991, excluding VAT, is estimated at nearly 600 million francs, of which 7% for the expertises of the courts of appeal, 81% for the expertises of the tribunals of major jurisdiction, and 12% for the expertises of the tribunals of instance. The costs of expert assessments vary greatly, with a disparity of 1 to 1,000 for the expertises of the tribunals of major jurisdiction. In practice, in the vast majority of cases, the judge grants the expert the remuneration they request: only 4% of expense claims are reduced to an amount lower by the courts of appeal, 3% by the tribunals of major jurisdiction, 1.5% by the tribunals of instance, and 2% by the labor courts. The average difference between the amount requested by the expert and the amount granted by the judge is small: 2.6% for the courts of appeal, 1.7% for the tribunals of major jurisdiction, and 1.6% for the tribunals of instance.</w:t>
      </w:r>
    </w:p>
    <w:p>
      <w:r>
        <w:t>B. - Social investigators appointed in matters of divorce and parental authority</w:t>
        <w:br/>
        <w:t>Social investigations ordered by the family court judge under the legislation relating to divorce and the exercise of parental authority, based on the provisions of Articles 287 and following of the Civil Code, are specific information measures that are not subject to the procedural rules concerning investigative measures carried out by technicians. They are not regulated in terms of fees. The family court judge, before any provisional or final decision setting the modalities of parental authority and visitation rights or entrusting children to a third party, may assign any qualified person to conduct a social investigation (Article 287-2 of the Civil Code, art. 1078 and following of the NCPC). Judges may resort to specialized social services, possibly authorized by the prefect in accordance with the provisions of decree no. 88-949 of October 6, 1988, relating to the authorization of individuals, establishments, services, or public or private organizations to which the judicial authority usually entrusts minors, or designate individuals exercising a liberal profession: social worker, psychologist, marriage counselor, specialized educator, family mediator. Lists of investigators are established, without particular formalism, with certain jurisdictions. Social investigators do not constitute a profession.</w:t>
      </w:r>
    </w:p>
    <w:p>
      <w:r>
        <w:t>The completion of these investigations entitles the investigator to remuneration, subject to VAT, set by the judge in accordance with the provisions of decree no. 76-998 of November 4, 1976, amended by decree no. 88-600 of May 6, 1988, which provides: "Each social investigation ordered in matters of parental authority, pursuant to Article 287-1 of the Civil Code [now Article 287-2], entitles the investigator to remuneration set, upon the submission of the report, by the judge who ordered it. Account shall be taken of the diligence required for the investigation and the difficulties it may have presented" (art. 1); "The remuneration provided for in Article 1 shall be advanced in all cases by the Treasury. It shall be paid by it to the person who conducted the social investigation or, if that person is an employee of a private organization or an agent of a public authority, to the Treasury, which will then seek reimbursement from the party liable for costs" (art. 2).</w:t>
      </w:r>
    </w:p>
    <w:p>
      <w:r>
        <w:rPr>
          <w:b/>
        </w:rPr>
        <w:t>[Pages 4–6]</w:t>
      </w:r>
    </w:p>
    <w:p>
      <w:r>
        <w:t>"legal entities to which it belongs" (art. 2); "The remuneration provided for in Article 1 is included in the costs of the proceedings" (art. 3). It will therefore be charged to one of the parties to the proceedings. The Treasury pursues its recovery (art. R. 91 and R. 93-12° of the Code of Criminal Procedure (CPP)) as in matters of "criminal, correctional, or police justice costs" and "in the absence of a condemnation to costs, the expenses... are recovered against the party designated by the judge who ordered the investigation" (art. R. 221 of the CPP). Article R. 221 of the CPP establishes a specific appeal against the provision of the decision relating to the liquidation of social investigation costs.</w:t>
      </w:r>
    </w:p>
    <w:p>
      <w:r>
        <w:t xml:space="preserve">C. - The reported practices </w:t>
        <w:br/>
        <w:t>1. The development of remuneration scales concerning expert assessments in civil matters: Documents relating to the remuneration of judicial experts, titled "indicative scales," were established in the jurisdiction of the Court of Appeal of Aix-en-Provence in 1995, of the Court of Appeal of Chambéry in 1992 and in 1995, of the Court of Appeal of Grenoble between 1989 and 1997, of the Court of Appeal of Montpellier in 1992, of the Court of Appeal of Nîmes in 1993, of the Court of Appeal of Orléans in 1993, of the Court of Appeal of Rennes in 1993, and of the Court of Appeal of Riom between 1990 and 1997. These documents provide ranges relating to the hourly rates applicable by area of expertise or set fixed fees applicable by category of expertise. The methods for calculating the amounts retained are not explained. Generally, these scales include a pricing of expenses and disbursements that can be claimed by experts: transportation costs, typing costs, photocopying costs, secretarial costs, etc. These scales have been disseminated to magistrates and experts in each relevant Court of Appeal.</w:t>
      </w:r>
    </w:p>
    <w:p>
      <w:r>
        <w:t>The investigation established that the indicative scales relating to the remuneration of experts in civil matters had been developed by the first presidents of the Courts of Appeal at the initiative of the Ministry of Justice. Two circulars from the Keeper of the Seals recommend the use of indicative scales to assist judges in determining the remuneration of experts. In a circular dated January 15, 1985, the Minister of Justice indicated in this regard: "In this respect, I draw your attention to the interest of establishing, within the jurisdiction of each Court of Appeal, an indicative scale based on the hourly rate depending on the complexity and nature of the expert assessments and to be re-evaluated, if necessary, each year." A circular dated October 14, 1997, reminds: "It is essential that the judges of the bench and the public prosecutor pay particular attention to the control of the expense reports presented to them in the context of the taxation procedure. To this end, the dissemination by the Courts of Appeal to all jurisdictions within their jurisdiction of indicative amounts of fees not regulated by specialty will help the taxing judges in assessing, both in civil and criminal matters, the level of fees they can accept. Please send me [...] the document disseminating these indicative amounts, so that the services of the Chancellery can evaluate the discrepancies that may exist from one Court of Appeal to another and proceed with the necessary national harmonizations."</w:t>
      </w:r>
    </w:p>
    <w:p>
      <w:r>
        <w:t>To develop these scales, the first presidents of the relevant Courts of Appeal consulted the expert companies according to modalities that, depending on the cases, required more or less significant participation from the experts: providing information in response to specific requests; participating in joint meetings; establishing a draft indicative scale submitted for approval. In all cases, the expert companies ensured the dissemination of the scales to their members.</w:t>
      </w:r>
    </w:p>
    <w:p>
      <w:r>
        <w:t>The president of the expert company near the Court of Appeal of Grenoble stated during the investigation: "The indicative scale of expert fees is developed each year by the first president of the Court of Appeal, after consultation with the expert company. This scale is then sent by the first president to the presidents of the courts of major jurisdiction, the courts of instance, the commercial courts, and the labor courts exercising their functions within the jurisdiction of the Court of Appeal of Grenoble. The first president communicates a copy to the president of the expert company near the Court of Appeal of Grenoble, who sends it to all members of the company." The president of the expert company near the Court of Appeal of Riom indicated: "The board of directors of the company meets on average four times a year. It is customary to invite at least one of these board meetings the two senior magistrates of the jurisdiction (first president and public prosecutor). On this occasion, the problems that may arise are discussed. The updating of the remuneration of experts may be addressed when this subject has been raised. Following this discussion, the first president establishes an indicative scale for the use of the magistrates of the jurisdiction. [...] A copy of the indicative scale is sent to the company, which disseminates it for information to its members."</w:t>
      </w:r>
    </w:p>
    <w:p>
      <w:r>
        <w:t>In the jurisdiction of the Court of Appeal of Grenoble, the proposed scale formulated by the expert company for the year 1995 was simply ratified by the first president, so that the document on the letterhead of the expert company titled "Proposed indicative scale of expert fees effective from January 1, 1995" was disseminated.</w:t>
      </w:r>
    </w:p>
    <w:p>
      <w:r>
        <w:t>To meet the requirements for national harmonization requested by the ministerial circulars, the first presidents were also led to re-evaluate the amounts of the fees provided for by the scales and to question the expert companies on these matters. Thus, following an investigation conducted among the Courts of Appeal to ascertain the level of fees of existing scales, the first president of the Court of Appeal of Grenoble increased the amount of fees for real estate experts and informed the magistrates of his jurisdiction by a transmission letter drafted in the following terms: "It results from an investigation carried out among most of the Courts of Appeal that for the year 1993, the Court of Appeal of Grenoble was slightly below the national average for both fees and expenses (average maximum fee 451F 54 HT for 420 F 00 HT in Grenoble). The fees for real estate appraisers, which ranged from 260 F to 350 F, were raised in 1995 to between 320 and 375 F since: the old scale was low compared to other technicians of the same level such as surveyors or engineers whose fee ranges were respectively 290 F to 360 F for surveyors; that in the two nearby Courts of Appeal (Lyon and Chambéry), the evaluations were very much higher in 1993 (between 240 to 385 F in Lyon, and between 200 and 400 F in Chambéry)."</w:t>
      </w:r>
    </w:p>
    <w:p>
      <w:r>
        <w:t>The expert company near the Court of Appeal of Orléans conducted two national surveys on the fee scales of experts in use in the various Courts of Appeal. These surveys resulted in the establishment of summary tables indicating the level of hourly rates, fixed fees, and expenses listed on the existing scales.</w:t>
      </w:r>
    </w:p>
    <w:p>
      <w:r>
        <w:t>The investigation did not reveal any evidence establishing that the indicative scales disseminated within the Courts of Appeal had been used by experts in the context of their private expertise activities. The experts heard during the investigation stated on this point that they never resorted to these scales to set the amount of their fees for extrajudicial services. Furthermore, the investigation did not provide any evidence to establish that the expert companies had, outside the field of judicial expertise, implemented practices that would result from anti-competitive consultation during the professional activities of their members.</w:t>
      </w:r>
    </w:p>
    <w:p>
      <w:r>
        <w:t>2. The development of remuneration scales concerning social investigations in matters of divorce and exercise of parental authority: The scale of the Court of Appeal of Aix-en-Provence, relating to the remuneration of experts in civil matters for the year 1995, also sets a fixed remuneration for social investigations provided for by Article 1078 of the NCPC. Similarly, documents from the courts of major jurisdiction of Grenoble (dated January 8, 1991), Tours (dated January 27, 1986), and Riom (for the year 1994) establish, without justification of the calculation method, a tariff for social investigations. However, the investigation did not establish that the social investigators designated in matters of divorce or exercise of parental authority had been consulted during the establishment of these tariffs, nor that these tariffs had been disseminated outside the jurisdictions.</w:t>
      </w:r>
    </w:p>
    <w:p>
      <w:r>
        <w:t>II. - Based on the preceding findings, the Council, Considering that judicial experts put their skills at the service of justice to enlighten the judge on a factual question that requires the insights of a technician and offer their services to carry out expert missions at the request of the jurisdictions; that they receive, for each mission, a remuneration set by the judge based on the request made and the justifications provided; Considering that by performing expert missions in exchange for remuneration, the individuals designated as experts exercise a service activity within the meaning of Article 53 of Ordinance No. 86-1243 of December 1986; that they are not invested with public power prerogatives for the performance of expert operations; that in particular, they are prohibited from making legal assessments; that they cannot be tasked with reconciling the parties; that their liability for faults committed in the performance of their missions is engaged in accordance with the common law of civil liability; Considering that, while experts are designated due to their qualifications, the judge, in the interest of good administration of justice, will ensure, in practice, not to impose excessive costs on the parties, or on the State in the context of legal aid, by designating experts whose claims regarding remuneration would be excessive; that conversely, the judge must also ensure that the expert receives sufficient remuneration corresponding to the quality of the work he has provided; that consequently, the amount of the remuneration of experts is an element taken into account when deciding who to appoint;</w:t>
      </w:r>
    </w:p>
    <w:p>
      <w:r>
        <w:rPr>
          <w:b/>
        </w:rPr>
        <w:t>[Pages 7–7]</w:t>
      </w:r>
    </w:p>
    <w:p>
      <w:r>
        <w:t>Considering that the amount of remuneration for judicial experts in civil matters is not set by any legislative or regulatory provision;</w:t>
      </w:r>
    </w:p>
    <w:p>
      <w:r>
        <w:t>Considering that the tariff references included in the indicative scales challenged by the applicant party are not based on objective criteria derived from the costs of expert operations; that these scales determine price ranges with minimums or fixed prices; that, consequently, they are likely to encourage experts to comply with them by refraining from calculating their fees based on their own costs;</w:t>
      </w:r>
    </w:p>
    <w:p>
      <w:r>
        <w:t>But considering that the scales in question were developed at the initiative of the first presidents of the courts of appeal, in accordance with the instructions of the Minister of Justice and solely for the purpose of enabling the jurisdictions to set the amount of fees owed to experts; that the expert companies participated in the consultations organized for this purpose by the first presidents and that no element in the file allows attributing to them practices that would not find their justification in the request of the first presidents acting under the instructions of the administration;</w:t>
      </w:r>
    </w:p>
    <w:p>
      <w:r>
        <w:t>Considering, furthermore, that the investigation did not reveal any element establishing that the indicative scales disseminated within the courts of appeal had been used by the experts in the context of their private expertise activities or that the expert companies had, outside the field of judicial expertise, implemented practices that would result from anti-competitive collusion;</w:t>
      </w:r>
    </w:p>
    <w:p>
      <w:r>
        <w:t>Considering, finally, that the investigation did not establish either that the social investigators designated in matters of divorce or exercise of parental authority had been consulted or had conspired during the development of the scales challenged by the applicant party, nor that these scales had been disseminated outside the jurisdictions;</w:t>
      </w:r>
    </w:p>
    <w:p>
      <w:r>
        <w:t>Considering that it follows from the above that the practices denounced by the author of the referral cannot be regarded as constitutive of practices prohibited by Article 7 of the ordinance of December 1, 1986,</w:t>
      </w:r>
    </w:p>
    <w:p>
      <w:r>
        <w:t>Sole Article.- There is no need to continue the proceedings.</w:t>
      </w:r>
    </w:p>
    <w:p>
      <w:r>
        <w:t>Deliberated, on the report of Mr. Savinien Grignon Dumoulin, designated in place of Mr. Henri Génin, prevented, by Mr. Cortesse, vice-president, presiding over the session, designated in place of Mrs. Hagelsteen, president, prevented, Mrs. Pasturel, vice-president, and Mr. Rocca, member, designated in place of Mr. Jenny, vice-president, prevented.</w:t>
      </w:r>
    </w:p>
    <w:p>
      <w:r>
        <w:t xml:space="preserve">The secretary of the session The vice-president, 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