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https://www.autoritedelaconcurrence.fr/fr/decision/relative-une-saisine-de-la-federation-francaise-de-rugby</w:t>
      </w:r>
    </w:p>
    <w:p>
      <w:r>
        <w:t>Pages translated : 13</w:t>
      </w:r>
    </w:p>
    <w:p/>
    <w:p>
      <w:r>
        <w:rPr>
          <w:b/>
        </w:rPr>
        <w:t>[Pages 1–3]</w:t>
      </w:r>
    </w:p>
    <w:p>
      <w:r>
        <w:t xml:space="preserve">FRENCH REPUBLIC  </w:t>
        <w:br/>
        <w:t xml:space="preserve">Decision No. 12-D-28 of December 20, 2012  </w:t>
        <w:br/>
        <w:t xml:space="preserve">regarding a referral from the French Rugby Federation  </w:t>
        <w:br/>
        <w:t xml:space="preserve">The Competition Authority (single judge),  </w:t>
        <w:br/>
        <w:t xml:space="preserve">Having regard to the letter registered on December 21, 2009, under number 09/0139 F by which the French Rugby Federation referred to the Competition Authority practices implemented by the company Consortium Stade de France;  </w:t>
        <w:br/>
        <w:t xml:space="preserve">Having regard to the business secrecy decisions No. 10-DSA-256 of November 25, 2010, and No. 12-DSA-360 of October 19, 2012;  </w:t>
        <w:br/>
        <w:t xml:space="preserve">Having regard to decision No. 12-JU-04 of November 27, 2012, by which the president of the Competition Authority designated Mr. Spilliaert, vice-president, to allow him to adopt alone a decision provided for in Article L. 462-8 of the Commercial Code in application of Article L. 461-3 paragraph 4 of the Commercial Code;  </w:t>
        <w:br/>
        <w:t xml:space="preserve">Having regard to Book IV of the Commercial Code;  </w:t>
        <w:br/>
        <w:t xml:space="preserve">Having regard to Articles 101 and 102 of the Treaty on the Functioning of the European Union;  </w:t>
        <w:br/>
        <w:t xml:space="preserve">Having regard to the other documents in the file;  </w:t>
        <w:br/>
        <w:t xml:space="preserve">The reporting judge, the general reporting judge, and the representatives of the French Rugby Federation heard during the session of November 29, 2012;  </w:t>
        <w:br/>
        <w:t>Adopts the following decision:</w:t>
      </w:r>
    </w:p>
    <w:p>
      <w:r>
        <w:t xml:space="preserve">I. Findings  </w:t>
        <w:br/>
        <w:t xml:space="preserve">1. The Competition Authority was seized on December 21, 2009, with a complaint from the French Rugby Federation regarding practices implemented by the company Consortium Stade de France concerning access to facilities, advertising, and derivative markets of the Stade de France during sporting events.  </w:t>
        <w:br/>
        <w:t xml:space="preserve">A. THE CONCERNED PARTIES AND THE SECTOR OF ACTIVITY  </w:t>
        <w:br/>
        <w:t xml:space="preserve">1. THE FRENCH RUGBY FEDERATION  </w:t>
        <w:br/>
        <w:t xml:space="preserve">2. The French Rugby Federation (hereinafter FFR) is an association governed by the law of July 1, 1901. Founded in 1919 and recognized as being of public utility in 1922, its purpose is to "encourage and develop the practice of rugby [...], to lead and regulate rugby and to defend its interests." It has obtained approval from the Minister in charge of sports as provided for in Article L. 131-8 of the Sports Code and participates in this capacity in the execution of a public service mission. As a delegate of the Minister in charge of sports, it is responsible for organizing, in its discipline, competitions after which international, national, regional, or departmental titles are awarded (Article L. 131-15 of the Sports Code).  </w:t>
        <w:br/>
        <w:t xml:space="preserve">3. The FFR participates in the organization of approximately 136,000 rugby matches per year across the national territory. It directly organizes the home matches of the French Team within the framework of the Six Nations tournament (two or three matches per year), three test matches per year (matches opposing the XV of France to a nation from the southern hemisphere), as well as the final of the French championship (Top 14) in collaboration with the professional league.  </w:t>
        <w:br/>
        <w:t xml:space="preserve">4. In accordance with the provisions of Article L. 333-1 of the Sports Code, the FFR owns the exploitation rights of the sporting events or competitions it organizes.  </w:t>
        <w:br/>
        <w:t xml:space="preserve">2. THE CONSORTIUM STADE DE FRANCE  </w:t>
        <w:br/>
        <w:t xml:space="preserve">5. The Consortium Stade De France (hereinafter CSDF) is the concessionaire company tasked by the State with the construction, operation, and maintenance of the Stade de France in application of the concession contract signed on April 29, 1995, for a duration of 30 years.  </w:t>
        <w:br/>
        <w:t xml:space="preserve">6. It is 67% owned by Vinci Concessions (a 100% subsidiary of Vinci) and 33% by Bouygues Constructions.  </w:t>
        <w:br/>
        <w:t xml:space="preserve">7. Built to host the 1998 FIFA World Cup, the Stade de France has a capacity of 80,000 seats, including 2,860 box seats and 6,000 "premium" seats. It hosts between 20 and 30 events per year, primarily major sporting events, but also large concerts and cultural shows, some of which are produced directly by one of its subsidiaries.  </w:t>
        <w:br/>
        <w:t xml:space="preserve">3. THE AGREEMENT OF APRIL 26, 1995 CONCLUDED BETWEEN THE FFR AND THE CSDF  </w:t>
        <w:br/>
        <w:t xml:space="preserve">8. The concession contract for the Grand Stade, concluded on April 29, 1995, includes in its annex two agreements:  </w:t>
        <w:br/>
        <w:t xml:space="preserve">- an agreement concluded on April 26, 1995, between the CSDF and the French Rugby Federation (FFR), effective from 1998 and for a renewable duration of 15 years. This agreement ends on June 30, 2013;  </w:t>
        <w:br/>
        <w:t xml:space="preserve">- an agreement concluded on April 29, 1995, between the CSDF and the French Football Federation (FFF) for a renewable duration of 15 years as well. This agreement was subject to early renewal in 2010 (with significant modifications compared to the initial agreement) and has a contractual deadline of 2025.  </w:t>
        <w:br/>
        <w:t xml:space="preserve">9. These agreements provide for the holding at the Stade de France of a certain number of matches organized by the FFR and the FFF and set the conditions for making the stadium available for these so-called "reserved" events, which take priority over other events that may be held there.  </w:t>
        <w:br/>
        <w:t xml:space="preserve">10. The CSDF-FFR agreement thus provides that the FFR must organize at the Stade de France the home matches of the French team within the framework of the Six Nations tournament, the final of the French championship (Top 14), and one test match, totaling four or five events per year.  </w:t>
        <w:br/>
        <w:t xml:space="preserve">11. In return for the stadium's availability, the FFR must pay the concessionaire, for each match, a fixed remuneration provided for in the agreement as well as a percentage of ticketing revenues.  </w:t>
        <w:br/>
        <w:t xml:space="preserve">12. Furthermore, it is provided that the CSDF has the right to market all permanent advertising spaces and that the FFR transfers to the concessionaire, for a sum set by the agreement, its rights to exploit event advertising (namely advertising strictly related to the event whose locations are mainly situated around the field and on the electronic display boards).  </w:t>
        <w:br/>
        <w:t xml:space="preserve">4. THE DIFFICULTIES ENCOUNTERED IN THE EXECUTION OF THIS AGREEMENT  </w:t>
        <w:br/>
        <w:t xml:space="preserve">13. The FFR claims that the Agreement binding it to the CSDF was signed in a very particular context since it would have been the State that, in 1995, concerned about ensuring a certain profitability for the CSDF, "enjoined" it, as well as the FFF, to take this contractual commitment. It specifies in this regard that "the federations had, in fact, no real negotiating power over the terms of the signed agreements," (reference 2024).  </w:t>
        <w:br/>
        <w:t xml:space="preserve">14. In fact, the execution of this Agreement has led to significant disagreements between the FFR and the CSDF, with the FFR complaining about the terms of exploitation by the CSDF of event advertising spaces as well as the unbalanced nature of the contractual relations established. According to it, this imbalance appeared as early as 1997-1998 and has continued to worsen since then, due in particular to a very strong increase - not anticipated - in the popularity of rugby during the relevant period.  </w:t>
        <w:br/>
        <w:t>15. A memorandum of understanding, signed in 2004 (references 669 to 672), supplemented the Agreement by providing clarifications on the terms of exploitation of event advertising, but it was not sufficient to resolve the disputes.</w:t>
      </w:r>
    </w:p>
    <w:p>
      <w:r>
        <w:rPr>
          <w:b/>
        </w:rPr>
        <w:t>[Pages 4–6]</w:t>
      </w:r>
    </w:p>
    <w:p>
      <w:r>
        <w:t>16. Thus, dissatisfied with the conditions for the availability of the Stade de France and wishing to build its own venue, the FFR denounced on April 8, 2009, the mechanism for renewing the agreement, which therefore contractually ends on June 30, 2013. The FFR also filed a complaint with the Competition Authority on December 21, 2009.</w:t>
      </w:r>
    </w:p>
    <w:p>
      <w:r>
        <w:t>17. Negotiations are currently underway between the CSDF and the FFR regarding the conclusion of a new agreement that would govern their relations for the period 2013-2017.</w:t>
      </w:r>
    </w:p>
    <w:p>
      <w:r>
        <w:t>B. THE PRACTICES ALLEGED</w:t>
      </w:r>
    </w:p>
    <w:p>
      <w:r>
        <w:t>18. The FFR denounces multiple actions that it considers anti-competitive on the part of the CSDF, which can be summarized as follows:</w:t>
      </w:r>
    </w:p>
    <w:p>
      <w:r>
        <w:t>1. PRACTICES RELATED TO THE GENERAL CONDITIONS FOR THE AVAILABILITY OF THE STADIUM</w:t>
      </w:r>
    </w:p>
    <w:p>
      <w:r>
        <w:t>19. The FFR denounces the fact that the agreement binding it to the CSDF is completely unbalanced to its detriment. It complains of a "dismal financial balance" of the "reserved events" and notes that the matches it organizes in provincial stadiums provide it with much better profitability than those organized at the Stade de France, even though these stadiums are "far inferior in terms of reception or notoriety," (reference 3135).</w:t>
      </w:r>
    </w:p>
    <w:p>
      <w:r>
        <w:t>20. It also considers itself a victim of discrimination in the conditions of access to the Stade de France, insofar as the organizers of occasional shows or sporting events would benefit from more advantageous conditions than those offered to it, (references 3135 and 3136).</w:t>
      </w:r>
    </w:p>
    <w:p>
      <w:r>
        <w:t>21. For it, these facts constitute an abuse of dominant position on the part of the Stade de France, which would be in a monopoly situation in a market for very large capacity sports venues (venues with more than 80,000 seats) and should be considered an essential infrastructure.</w:t>
      </w:r>
    </w:p>
    <w:p>
      <w:r>
        <w:t>2. PRACTICES RELATED TO THE SALE OF EVENT ADVERTISING MEDIA AND CORPORATE PARTNERSHIPS</w:t>
      </w:r>
    </w:p>
    <w:p>
      <w:r>
        <w:t>22. The FFR laments that the CSDF acquired, for a "derisory" sum, under the 1995 Agreement, the rights to exploit event advertising during reserved rugby events, while it reaps significant profits due to the multiplication of the number of media offered for sale and the continuous and substantial increase in the prices charged.</w:t>
      </w:r>
    </w:p>
    <w:p>
      <w:r>
        <w:t>23. It considers that the CSDF is in a monopoly situation in the market for "event advertising media during rugby matches organized at the Stade de France" and feels victimized by various abusive practices on its part when it repurchases certain advertising media to make them available to its partners seeking visibility.</w:t>
      </w:r>
    </w:p>
    <w:p>
      <w:r>
        <w:t>24. Thus, it first complains of having to respect the sector exclusivities granted by the CSDF to its own partners when it repurchases panels to make them available to its own. It recounts, for example, that in 2006, it acquired event advertising spaces on behalf of its partners Toyota and Orangina but was unable to make them available due to the existence of partnerships with sector-exclusive clauses concluded between the CSDF on one hand and Renault and Coca Cola on the other hand, (references 24 and 25).</w:t>
      </w:r>
    </w:p>
    <w:p>
      <w:r>
        <w:t>25. It explains that this "systematic preference" granted by the CSDF to its own partners does not allow it to guarantee visibility at the Stade de France for its partners, and it states that this situation puts it at a disadvantage in concluding long-term partnership contracts or retaining its partners.</w:t>
      </w:r>
    </w:p>
    <w:p>
      <w:r>
        <w:t>26. It also considers itself discriminated against in its activity of purchasing media in that, although it is an important and regular client, it does not necessarily benefit from the best pricing conditions. Thus, it notably indicates that it would not be "surprised" if the permanent partners of the CSDF benefit from better rates than those offered to it. It further laments not being sufficiently informed of closing offers (discounted offers on unsold advertising spaces shortly before the event), stating at times that it is "systematically excluded" and at other times that it is only "very occasionally informed."</w:t>
      </w:r>
    </w:p>
    <w:p>
      <w:r>
        <w:t>27. Finally, it considers itself a victim of "price scissors" practices related to the price at which it must repurchase event advertising spaces from the CSDF (references 2061 to 2069 and reference 3137). It seems to actually denounce under this qualification two different problems.</w:t>
      </w:r>
    </w:p>
    <w:p>
      <w:r>
        <w:t>28. First, it laments that the prices at which it must acquire advertising spaces from the CSDF do not allow it to resell them at a price that could compete with its offer of panels to end clients, (reference 3137).</w:t>
      </w:r>
    </w:p>
    <w:p>
      <w:r>
        <w:t>29. Next, it complains of having to provide, as part of partnership contracts encompassing various services and at a fixed remuneration, event advertising spaces that it acquires at perpetually rising prices. As a result, it explains that "its costs are rising faster than its revenues, leaving it with fewer resources to ensure its core activities," which would constitute "the obvious manifestation of a scissor effect on the margin that goes to the FFR," (reference 2065).</w:t>
      </w:r>
    </w:p>
    <w:p>
      <w:r>
        <w:t>3. THE EXISTENCE OF AN ANTI-COMPETITIVE AGREEMENT</w:t>
      </w:r>
    </w:p>
    <w:p>
      <w:r>
        <w:t>30. The FFR suggests that, failing to qualify as an abuse of dominant position, the practices it denounces should be pursued on the basis of an anti-competitive agreement, insofar as the Agreement binding it to the CSDF could constitute the necessary agreement of intent for this qualification.</w:t>
      </w:r>
    </w:p>
    <w:p>
      <w:r>
        <w:t>31. The anti-competitive agreement would result from the fact that the FFR would have "acquiesced to the unbearable situation imposed on it by the Consortium Stade de France," (references 74 to 78).</w:t>
      </w:r>
    </w:p>
    <w:p>
      <w:r>
        <w:t>II. Discussion</w:t>
      </w:r>
    </w:p>
    <w:p>
      <w:r>
        <w:t>A. ON THE COMPETENCE OF THE COMPETITION AUTHORITY</w:t>
      </w:r>
    </w:p>
    <w:p>
      <w:r>
        <w:t>32. The CSDF contests the competence of the Competition Authority to hear the grievances raised by the FFR for three reasons:</w:t>
        <w:br/>
        <w:t>- these grievances would arise from the concession contract, which falls under the jurisdiction of the administrative judge;</w:t>
        <w:br/>
        <w:t>- the FFR-CSDF agreement would also fall under the jurisdiction of the administrative judge as it would involve the right to occupy public land;</w:t>
        <w:br/>
        <w:t>- the agreement concluded between the FFR and the CSDF would be in execution of the public service mission of the FFR and would not be separable from it, (references 2899 to 2902).</w:t>
      </w:r>
    </w:p>
    <w:p>
      <w:r>
        <w:t>33. Article L. 410-1 of the Commercial Code subjects "all activities of production, distribution, and services, including those carried out by public entities, notably within the framework of public service delegation agreements," to the rules defined notably in Title II of its Book IV, dedicated to anti-competitive practices.</w:t>
      </w:r>
    </w:p>
    <w:p>
      <w:r>
        <w:t>34. In its decision of October 18, 1999, Aéroports de Paris, clarified by its decision of May 4, 2009, Société Éditions Jean-Paul Gisserot, the Conflict Tribunal affirmed the Authority's competence to sanction practices that may be anti-competitive by a public entity, but subordinated it to the dual condition that these practices occur within the framework of an economic activity carried out by the public entity, and that they do not concern "decisions or acts relating to the organization of public service or implementing public power prerogatives."</w:t>
      </w:r>
    </w:p>
    <w:p>
      <w:r>
        <w:t>35. In this case, the practices denounced by the FFR concern the commercial exploitation conditions of the Stade de France facilities and are unrelated to any organization of public service or implementation of public power prerogatives.</w:t>
      </w:r>
    </w:p>
    <w:p>
      <w:r>
        <w:t>36. The Competition Authority is therefore competent to hear the case.</w:t>
      </w:r>
    </w:p>
    <w:p>
      <w:r>
        <w:t>B. ON THE MERITS</w:t>
      </w:r>
    </w:p>
    <w:p>
      <w:r>
        <w:t>37. Article L. 462-8 paragraph 2 of the Commercial Code states that "the Competition Authority may (...) reject the referral by reasoned decision when it considers that the alleged facts are not supported by sufficiently probative elements."</w:t>
      </w:r>
    </w:p>
    <w:p>
      <w:r>
        <w:t>1. ON THE CONDITIONS FOR THE AVAILABILITY OF THE STADIUM</w:t>
      </w:r>
    </w:p>
    <w:p>
      <w:r>
        <w:t>a) On the relevant market and the position of the CSDF in this market</w:t>
      </w:r>
    </w:p>
    <w:p>
      <w:r>
        <w:t>38. The FFR argues that the relevant market to consider is that of "very large capacity sports venues, namely those with a capacity of 80,000 seats or more," a market in which the CSDF would be in a monopoly situation, (reference 3121).</w:t>
      </w:r>
    </w:p>
    <w:p>
      <w:r>
        <w:rPr>
          <w:b/>
        </w:rPr>
        <w:t>[Pages 7–9]</w:t>
      </w:r>
    </w:p>
    <w:p>
      <w:r>
        <w:t xml:space="preserve">39. As the Competition Authority has repeatedly stated, the market, in the sense understood by competition law, is defined as the place where the supply and demand for specific products or services meet, considered by buyers as substitutable among themselves but not substitutable for other goods or services offered.  </w:t>
        <w:br/>
        <w:t xml:space="preserve">40. Perfect substitutability is rarely observed; the Authority considers that products or services are substitutable, and therefore belong to the same market, if it can be reasonably thought that demanders view them as alternative means among which they can arbitrate to satisfy the same demand.  </w:t>
        <w:br/>
        <w:t xml:space="preserve">41. In this case, the FFR provides a particularly restrictive and insufficiently argued definition of the relevant market.  </w:t>
        <w:br/>
        <w:t xml:space="preserve">42. Indeed, it distinguishes between stadiums with fewer than 80,000 seats and those with more than 80,000 seats, but it does not provide any elements justifying this distinction, which does not appear to correspond to any official classification or commonly used classification in the profession.  </w:t>
        <w:br/>
        <w:t xml:space="preserve">43. The criterion of a minimum capacity of 80,000 seats automatically reduces the market considered to only the Stade de France and excludes, in particular, the two largest French stadiums after it, namely the Stade Vélodrome (60,000 seats), where the FFR still organizes certain events, as well as the Parc des Princes (48,000 seats), a stadium where it organized its matches before the construction of the Stade de France.  </w:t>
        <w:br/>
        <w:t xml:space="preserve">44. It is therefore possible that the market to be considered is broader than that proposed by the complainant and includes other sports venues than the CSDF.  </w:t>
        <w:br/>
        <w:t xml:space="preserve">45. That said, it cannot be excluded that, given its capacity, location, and characteristics in terms of safety and comfort, the Stade de France occupies a predominant position among the large-capacity sports venues in France.  </w:t>
        <w:br/>
        <w:t xml:space="preserve">46. In any case, it is not necessary to resolve either the question of the definition of the relevant market or that of the position of the CSDF in this market for the purposes of the present case.  </w:t>
        <w:br/>
        <w:t xml:space="preserve">b) On the essential infrastructure quality of the Stade de France  </w:t>
        <w:br/>
        <w:t xml:space="preserve">47. The FFR argues that the Stade de France would constitute essential infrastructure (reference 3121).  </w:t>
        <w:br/>
        <w:t xml:space="preserve">48. It follows from the decision-making practice of the Competition Authority (see, in particular, decision No. 08-D-08 of the Competition Council of April 29, 2008, concerning practices implemented in the sector of publishing and selling tourist monographs, paragraph 56, and decision No. 11-MC-01 of the Competition Authority of May 12, 2011, concerning the request for interim measures presented by Kiala France and Kiala SA in the parcel delivery sector, paragraph 255) that this qualification requires demonstrating the meeting of the following criteria:  </w:t>
        <w:br/>
        <w:t xml:space="preserve">- firstly, the infrastructure in question must be owned by a company that holds a dominant position;  </w:t>
        <w:br/>
        <w:t xml:space="preserve">- secondly, access to the infrastructure is strictly necessary (or indispensable) to carry out a competing activity in an upstream, downstream, or complementary market to that in which the holder of the infrastructure holds a dominant position;  </w:t>
        <w:br/>
        <w:t xml:space="preserve">- thirdly, the infrastructure cannot be reproduced under reasonable conditions by the competitors of the company managing it;  </w:t>
        <w:br/>
        <w:t xml:space="preserve">- fourthly, access to this infrastructure is refused or authorized under unjustified restrictive conditions;  </w:t>
        <w:br/>
        <w:t xml:space="preserve">- lastly, access to the infrastructure is possible.  </w:t>
        <w:br/>
        <w:t xml:space="preserve">49. The Authority has repeatedly emphasized that the right of access to essential infrastructure is contingent upon the impossibility of finding an alternative solution or reproducing it under economically reasonable conditions, in order not to compromise the incentive to innovate and ultimately to promote a competitive situation.  </w:t>
        <w:br/>
        <w:t xml:space="preserve">50. In this case, it does not appear from the elements put forward by the FFR that the Stade de France constitutes essential infrastructure. Indeed, one may doubt its non-reproducibility given that the FFR itself has initiated a project to construct an 80,000-seat stadium of which it would be the owner (references 3121, 4019 to 4026). Furthermore, there are other large stadiums that could potentially host FFR events, even if they have a smaller capacity.  </w:t>
        <w:br/>
        <w:t xml:space="preserve">c) On the practices denounced  </w:t>
        <w:br/>
        <w:t xml:space="preserve">On the unbalanced nature of the agreement  </w:t>
        <w:br/>
        <w:t xml:space="preserve">51. The FFR complains about the unbalanced nature of the agreement linking it to the CSDF, which would lead to very poor profitability for it from the matches it organizes at the Stade de France.  </w:t>
        <w:br/>
        <w:t xml:space="preserve">52. The existence of this imbalance, assuming it is proven, cannot in itself constitute an anti-competitive practice independently of any element produced by the complainant in favor of its impact on the functioning of competition in one or more markets.  </w:t>
        <w:br/>
        <w:t xml:space="preserve">On discrimination in access conditions to the stadium  </w:t>
        <w:br/>
        <w:t xml:space="preserve">53. The FFR considers itself a victim of discrimination in that the financial conditions of access to the stadium that it benefits from for "reserved" events would be less favorable than those offered by the CSDF to organizers of other events, whether sporting or cultural.  </w:t>
        <w:br/>
        <w:t xml:space="preserve">54. It is indeed possible that the provisions of the CSDF-FFR Agreement (as well as the provisions of the initial CSDF-FFF Agreement) lead to unfavorable pricing conditions for the organization of "reserved" events compared to the conditions proposed for the organization of other events.  </w:t>
        <w:br/>
        <w:t xml:space="preserve">55. However, a practice of price differentiation, even by an operator in a dominant position, does not necessarily constitute an abuse.  </w:t>
        <w:br/>
        <w:t xml:space="preserve">56. According to the decision-making practice of the Authority, its abusive nature depends on two cumulative conditions:  </w:t>
        <w:br/>
        <w:t xml:space="preserve">- buyers are in an equivalent situation;  </w:t>
        <w:br/>
        <w:t xml:space="preserve">- the practice creates a disadvantage in competition.  </w:t>
        <w:br/>
        <w:t xml:space="preserve">57. In this case, it should first be noted that the conditions for contractual negotiation are very different for "reserved" events and for other events.  </w:t>
        <w:br/>
        <w:t xml:space="preserve">58. Thus, the financial conditions applicable to reserved events result from a 15-year agreement signed in 1995 as part of the conclusion of the concession contract, and they entail a priority reservation of the stadium. In contrast, other events are subject to ad hoc and more recent contractual negotiations between the CSDF and the organizer.  </w:t>
        <w:br/>
        <w:t xml:space="preserve">59. Therefore, the equivalence of situations between the FFR and other CSDF clients is not verified (except, possibly, for the FFF for the organization of "reserved" events under its initial agreement with the CSDF).  </w:t>
        <w:br/>
        <w:t xml:space="preserve">60. Furthermore, this price differentiation does not appear to be likely to create any distortion of competition.  </w:t>
        <w:br/>
        <w:t xml:space="preserve">61. Indeed, due to its public service delegation, the FFR has an exclusive right to organize official rugby competitions and is therefore not in competition with any of the other SDF clients for the organization of its events.  </w:t>
        <w:br/>
        <w:t xml:space="preserve">2. ON THE CONDITIONS FOR THE SALE OF EVENT ADVERTISING MEDIA AND PARTNERSHIP CONTRACTS  </w:t>
        <w:br/>
        <w:t xml:space="preserve">a) On the relevant markets and the position of the CSDF in these markets  </w:t>
        <w:br/>
        <w:t xml:space="preserve">Regarding the provision of event advertising media  </w:t>
        <w:br/>
        <w:t xml:space="preserve">62. The FFR argues that the relevant market to be considered is that of "access to event advertising media during rugby matches organized at the Stade de France" (reference 3122), a market in which the CSDF would be in a monopoly position.  </w:t>
        <w:br/>
        <w:t xml:space="preserve">63. It justifies this particularly narrow market definition by the exceptional characteristics of the Stade de France compared to other sports venues as well as by the specificity of the values conveyed by rugby compared to other sports.  </w:t>
        <w:br/>
        <w:t xml:space="preserve">64. The Council and then the Competition Authority have already ruled several times on the delineation of markets in the advertising sector. It has been considered that the advertising spaces offered by different media (print, television, internet, outdoor advertising, etc.) could not be considered as belonging to the same relevant market.  </w:t>
        <w:br/>
        <w:t xml:space="preserve">65. Regarding outdoor advertising, the Council and then the Competition Authority have not, to date, identified distinct markets either based on the medium or based on the location of the advertising. For example, in its decision No. 05-D-11 of March 16, 2005, concerning practices implemented in the advertising sector within the railway network and in the transport of people on the Paris-London route, the Competition Council did not identify a market limited to advertising in train stations.  </w:t>
        <w:br/>
        <w:t xml:space="preserve">66. In this case, it cannot be excluded that advertising in places where significant sporting events take place may be considered by advertisers as having important specificities compared to advertising in other locations, given the television audience reached on such occasions and the association of the company's image with the world of sports.  </w:t>
        <w:br/>
        <w:t>67. However, it seems doubtful that the relevant market can be reduced, as suggested by the FFR, to only the advertising media located around the field of the Stade de France during rugby matches.</w:t>
      </w:r>
    </w:p>
    <w:p>
      <w:r>
        <w:rPr>
          <w:b/>
        </w:rPr>
        <w:t>[Pages 10–12]</w:t>
      </w:r>
    </w:p>
    <w:p>
      <w:r>
        <w:t>68. In any case, it is not necessary to decide either the question of the definition of the relevant market or that of the position of the CSDF in this market for the purposes of the present case.</w:t>
        <w:br/>
        <w:t>Regarding the partnership offer</w:t>
        <w:br/>
        <w:t>69. For the FFR, the relevant market is that of "the partnership offer to businesses and public authorities in the sports field." It claims to be in competition with the CSDF in the market as defined, but is unable to provide additional elements regarding the identity of other providers or the market shares of the various participants, (references 3122 and 3138).</w:t>
        <w:br/>
        <w:t>70. In its decision No. 09-D-31 of September 30, 2009, concerning practices implemented in the sector of the management and commercialization of the sports rights of the French Football Federation, the Competition Authority recognized the existence of a market for sports marketing rights, resulting from the meeting between "an offer of marketing rights proposed by their holders, owners of sporting events attractive to spectators and viewers" and a specific demand from businesses (see paragraph 214 of the aforementioned decision).</w:t>
        <w:br/>
        <w:t>71. At this stage, it is not evident that the CSDF can be considered a competitor of the FFR, and more generally of sports federations, sports teams, or sporting events, in terms of the partnership offer, given the necessarily very different nature of the services offered by a sports venue or by sports actors within the framework of said contracts.</w:t>
        <w:br/>
        <w:t>72. However, this point does not need to be resolved for the purposes of the present case.</w:t>
        <w:br/>
        <w:t>b) On the practices denounced</w:t>
        <w:br/>
        <w:t>On the exclusivity clauses granted by the CSDF to its partners</w:t>
        <w:br/>
        <w:t>73. The FFR denounces the fact that it must respect the sectoral exclusivities granted by the CSDF to its partners when it allocates to its own the event advertising spaces acquired on their behalf, which would hinder its development of partnership activity.</w:t>
        <w:br/>
        <w:t>74. In doing so, it is actually complaining about the very mechanism of the 1995 Convention, which provides for the transfer to the CSDF of its event advertising rights during the "reserved events" of rugby.</w:t>
        <w:br/>
        <w:t>75. Indeed, this Convention stipulates, in its Article 16-2-2, that the FFR transfers to the CSDF the "right to exploit exclusively, in the broadest manner and without any restriction, the event advertising on the occasion of the events organized by it at the large stadium," (reference 122).</w:t>
        <w:br/>
        <w:t>76. Therefore, the fact that the CSDF grants sectoral exclusivities to its partner-advertisers and opposes them to other buyers of advertising panels (including the FFR, on behalf of these partners) falls within the framework of the exploitation of the event advertising rights it has acquired and cannot in itself be considered abusive.</w:t>
        <w:br/>
        <w:t>77. Thus, any potential hindrance experienced by the FFR in developing its partnership activity due to the existence of sectoral exclusivities granted by the CSDF results from the very principle of the transfer to it of its event advertising rights and does not attest in any way to anti-competitive practices on its part.</w:t>
        <w:br/>
        <w:t>On the discriminatory sale practices of event advertising spaces</w:t>
        <w:br/>
        <w:t>78. The FFR considers itself a victim of discrimination in that, although it is an important and regular client in the purchase of event advertising spaces, it would not necessarily benefit from the best pricing conditions, particularly regarding bundling offers.</w:t>
        <w:br/>
        <w:t>79. Heard by the services of the Authority, the CSDF described its pricing policy as taking into account, for the allocation of discounts, the status of intermediary (e.g., agency or federation) or simple advertiser, and whether it is a one-time purchase or a seasonal purchase.</w:t>
        <w:br/>
        <w:t>80. Furthermore, it explained that its partners could benefit from "attractive" prices (discounts "at least equivalent" to those granted to federations) due to the importance of the overall amounts of partnership contracts, (references 3014 to 3015).</w:t>
        <w:br/>
        <w:t>81. Regarding bundling offers, they would be, according to the CSDF, exceptional, particularly concerning rugby events for which the panels sell very well, (references 3015 and 3053).</w:t>
        <w:br/>
        <w:t>82. As has already been recalled, a practice of price differentiation, even by an operator in a dominant position, can only be considered abusive if the buyers are in an equivalent situation and the practice creates a disadvantage in competition.</w:t>
        <w:br/>
        <w:t>83. In this case, the FFR merely mentions that it would not necessarily benefit from the best pricing conditions, but it does not provide elements in favor of differentiated treatment of operators in an equivalent situation, nor elements capable of demonstrating any impact of the pricing differentiations practiced on competition.</w:t>
        <w:br/>
        <w:t>On the existence of a price squeeze</w:t>
        <w:br/>
        <w:t>84. The FFR believes it is suffering from a price squeeze from the CSDF due to the price paid when repurchasing event advertising spaces from it. It describes this squeeze in two ways: (i) the price paid for the repurchase from the CSDF of said spaces would not allow it to compete with it when reselling them to end users; (ii) this price, increasingly high, would undermine the profitability of its partnership contracts.</w:t>
        <w:br/>
        <w:t>85. A price squeeze may potentially be observed in a situation where a vertically integrated company A is competing with a company B in a retail market, and where B depends on A to obtain an intermediate good essential for its presence in the downstream market.</w:t>
        <w:br/>
        <w:t>86. A squeeze may be observed if company B, assumed to be as efficient as company A, cannot reproduce profitably enough to maintain its activity the price charged by A in the downstream market, given the price of the intermediate good required by A.</w:t>
        <w:br/>
        <w:t>87. In this case, the fact that the FFR does not benefit from preferential rates for the repurchase of advertising spaces and that it cannot, as a result, compete with the CSDF in the sale of said spaces to end clients cannot constitute any squeeze. Indeed, in this hypothesis, there is no intermediate good that would be distinct from the good sold downstream: in both cases, it is the sale of event advertising media.</w:t>
        <w:br/>
        <w:t>88. The qualification of a price squeeze seems equally ineffective regarding the loss of profitability of the FFR's partnership contracts due to the increase in the purchase price of event advertising spaces, for several reasons.</w:t>
        <w:br/>
        <w:t>89. First, aside from the fact that it is not evident that the CSDF and the FFR are in competition in a downstream market for business partnerships, the latter provides no element tending to demonstrate that the CSDF would practice on this downstream market prices that it could only reproduce by incurring losses or by applying profit margins that would prevent it from continuing this activity.</w:t>
        <w:br/>
        <w:t>90. Furthermore, the essential nature of the intermediate good, in this case the event advertising spaces from the CSDF, to provide the downstream service, namely the business partnership, is not established at all.</w:t>
        <w:br/>
        <w:t>91. Indeed, visibility at the CSDF is not systematically included in the partnership contracts concluded by the FFR since companies have the possibility (and several of them make use of it) to conclude a partnership contract with the FFR and, at the same time, to procure advertising spaces directly from the CSDF.</w:t>
        <w:br/>
        <w:t>3. ON THE EXISTENCE OF AN ANTI-COMPETITIVE AGREEMENT</w:t>
        <w:br/>
        <w:t>92. The FFR suggests that the practices it denounces be qualified as an anti-competitive agreement, given the existence of a contract linking it to the CSDF.</w:t>
        <w:br/>
        <w:t>93. However, this qualification of an agreement is, evidently, ineffective insofar as it does not correspond at all to the described actions and would amount for the complainant to self-incrimination.</w:t>
        <w:br/>
        <w:t>94. It follows from all of the above that the elements provided by the FFR do not allow for the consideration that the actions denounced could constitute anti-competitive practices.</w:t>
        <w:br/>
        <w:t>95. Consequently, the facts invoked not being supported by sufficiently probative elements, it is appropriate to apply Article L. 462-8 paragraph 2 of the Commercial Code and to reject the complaint.</w:t>
      </w:r>
    </w:p>
    <w:p>
      <w:r>
        <w:rPr>
          <w:b/>
        </w:rPr>
        <w:t>[Pages 13–13]</w:t>
      </w:r>
    </w:p>
    <w:p>
      <w:r>
        <w:t xml:space="preserve">DECISION  </w:t>
        <w:br/>
        <w:t xml:space="preserve">Sole Article: The referral registered under number 09/0139 F is rejected.  </w:t>
        <w:br/>
        <w:t xml:space="preserve">Deliberated on the oral report of Ms. Isabelle Minguet, rapporteur, and the intervention of Ms. Virginie Beaumeunier, general rapporteur, by Mr. Patrick Spilliaert, vice-president, president of the session.  </w:t>
        <w:br/>
        <w:t xml:space="preserve">The session secretary, The vice-president,  </w:t>
        <w:br/>
        <w:t xml:space="preserve">Caroline Orsel-Sébès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