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https://www.autoritedelaconcurrence.fr/fr/decision/relative-une-saisine-de-la-saisine-presentee-par-m-govoni</w:t>
      </w:r>
    </w:p>
    <w:p>
      <w:r>
        <w:t>Pages translated : 2</w:t>
      </w:r>
    </w:p>
    <w:p/>
    <w:p>
      <w:r>
        <w:rPr>
          <w:b/>
        </w:rPr>
        <w:t>[Pages 1–2]</w:t>
      </w:r>
    </w:p>
    <w:p>
      <w:r>
        <w:t xml:space="preserve">FRENCH REPUBLIC  </w:t>
        <w:br/>
        <w:t xml:space="preserve">Decision No. 92-D-04 of January 14, 1992  </w:t>
        <w:br/>
        <w:t xml:space="preserve">concerning a referral presented by Mr. Govoni  </w:t>
        <w:br/>
        <w:t xml:space="preserve">The Competition Council,  </w:t>
        <w:br/>
        <w:t xml:space="preserve">Having regard to the letter registered on July 9, 1991, under number F 423 by which Mr. Govoni referred to the Competition Council practices of the company Kormak France that he considers anti-competitive;  </w:t>
        <w:br/>
        <w:t xml:space="preserve">Having regard to Ordinance No. 86-1243 of December 1, 1986, as amended, relating to the freedom of prices and competition, together with Decree No. 86-1309 of December 29, 1986, as amended, adopted for its application;  </w:t>
        <w:br/>
        <w:t xml:space="preserve">The rapporteur, the general rapporteur, the Government Commissioner, and Mr. Govoni heard;  </w:t>
        <w:br/>
        <w:t xml:space="preserve">Considering that Mr. Govoni, who exercises the activity of a commercial agent, referred to the Competition Council practices of the company Kormak France, which would result from the application of a non-competition clause appearing in Article 11 of the bylaws, reproduced hereafter:  </w:t>
        <w:br/>
        <w:t xml:space="preserve">'Non-competition clause:  </w:t>
        <w:br/>
        <w:t xml:space="preserve">'Any partner of the company, whether a legal entity or a natural person, while being a partner or if they were to leave the company for any reason whatsoever and under any circumstances, except in the case of cessation of activity of Kormak France, without the transfer of its business to a third party, is prohibited from being directly or indirectly interested in any form whatsoever in a company having the same corporate purpose or in a competing company of Kormak France. This non-competition prohibition for any partner leaving the company is limited to a period of two years starting from the effective departure of the partner and covers the territory of France';  </w:t>
        <w:br/>
        <w:t xml:space="preserve">Considering that under the terms of Article 19 of the aforementioned ordinance, 'the Competition Council may declare, by reasoned decision, the referral inadmissible if it considers that the facts invoked do not fall within its jurisdiction or are not supported by sufficiently probative elements';  </w:t>
        <w:br/>
        <w:t>Considering that it follows from the documents in the file that Mr. Govoni was an employee seller of S.A.R.L. Kormak France until June 30, 1989, and a partner holding 1% of the capital until February 1991;</w:t>
      </w:r>
    </w:p>
    <w:p>
      <w:r>
        <w:t xml:space="preserve">Considering that while Mr. Govoni argues that the non-competition clause invoked against him as a former partner 'has no other purpose than to limit the free exercise of fair competition that he is able to conduct in the context of his activity as a commercial agent', such behavior falls within the jurisdiction of the Competition Council only to the extent that it relates to a concerted action of an anti-competitive nature or to the abusive exploitation of a dominant position or to a state of economic dependence;  </w:t>
        <w:br/>
        <w:t xml:space="preserve">Considering, first, that Mr. Govoni provides no evidence to establish that the aforementioned non-competition clause results from a concerted action or an agreement likely to limit access to the market or the free exercise of competition within the meaning of Article 7 of the aforementioned ordinance;  </w:t>
        <w:br/>
        <w:t xml:space="preserve">Considering, secondly, that the examination of the documents in the file reveals neither that the company Kormak France holds a dominant position in the market for machines and spare parts for electrical and electronic wiring, nor that Mr. Govoni finds himself in a situation of economic dependence with respect to this company;  </w:t>
        <w:br/>
        <w:t xml:space="preserve">Considering that it follows from the above that the opposition by the company Kormak France of a statutory non-competition clause against Mr. Govoni does not fall under the provisions of Article 7 or those of Article 8 of the aforementioned ordinance of December 1, 1986,  </w:t>
        <w:br/>
        <w:t xml:space="preserve">Decides:  </w:t>
        <w:br/>
        <w:t xml:space="preserve">Sole Article. - The referral of Mr. Govoni, registered under number F 423, is declared inadmissible.  </w:t>
        <w:br/>
        <w:t xml:space="preserve">Deliberated in section, on the oral report of Ms. Picard, in its session of January 14, 1992, where were present: Mr. Pineau, vice-president, president; Messrs. Blaise, Cortesse, Gaillard, Sargos, and Urbain, members  </w:t>
        <w:br/>
        <w:t xml:space="preserve">The substitute general rapporteur, The vice-president, presiding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