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https://www.autoritedelaconcurrence.fr/fr/decision/relative-une-saisine-de-la-sarl-pcb-promotion-communication-bance</w:t>
      </w:r>
    </w:p>
    <w:p>
      <w:r>
        <w:t>Pages translated : 2</w:t>
      </w:r>
    </w:p>
    <w:p/>
    <w:p>
      <w:r>
        <w:rPr>
          <w:b/>
        </w:rPr>
        <w:t>[Pages 1–2]</w:t>
      </w:r>
    </w:p>
    <w:p>
      <w:r>
        <w:t xml:space="preserve">FRENCH REPUBLIC  </w:t>
        <w:br/>
        <w:t xml:space="preserve">Decision No. 95-D-19 of February 28, 1995  </w:t>
        <w:br/>
        <w:t xml:space="preserve">concerning a referral by S.A.R.L. PCB-Promotion Communication Bance  </w:t>
        <w:br/>
        <w:t>The Competition Council (section I),</w:t>
      </w:r>
    </w:p>
    <w:p>
      <w:r>
        <w:t>Having regard to the letter, registered on May 16, 1994 under number F 679, by which Mr. Jean-Michel Bartolo, in his capacity as counsel for S.A.R.L. PCB-Promotion Communication Bance, referred to the Competition Council practices implemented by S.A. Publiprint;</w:t>
      </w:r>
    </w:p>
    <w:p>
      <w:r>
        <w:t>Having regard to Ordinance No. 86-1243 of December 1, 1986, as amended, relating to the freedom of prices and competition and Decree No. 86-1309 of December 29, 1986, as amended, adopted for its application;</w:t>
      </w:r>
    </w:p>
    <w:p>
      <w:r>
        <w:t>Having regard to the observations presented by S.A.R.L. PCB-Promotion Communication Bance and the Government Commissioner;</w:t>
      </w:r>
    </w:p>
    <w:p>
      <w:r>
        <w:t>The rapporteur, the general rapporteur, S.A.R.L. PCB-Promotion Communication Bance and the Government Commissioner heard;</w:t>
      </w:r>
    </w:p>
    <w:p>
      <w:r>
        <w:t>Considering that S.A.R.L. PCB-Promotion Communication Bance, an advertising brokerage company, argues that Publiprint received advertisements from it to be inserted accompanied by payment checks and did not proceed with the requested advertising insertions; that these facts constitute a refusal to sell and an abuse of a dominant position and that Publiprint acts in this way in order to capture the clientele of PCB-Promotion Communication Bance, of which it is aware of the difficulties, being registered as a creditor in the judicial recovery plan of the latter;</w:t>
      </w:r>
    </w:p>
    <w:p>
      <w:r>
        <w:t>Considering that under Article 19 of the ordinance of December 1, 1986: 'The Competition Council may declare, by reasoned decision, the referral inadmissible if it considers that the facts invoked do not fall within the scope of its competence or are not supported by sufficiently probative elements';</w:t>
      </w:r>
    </w:p>
    <w:p>
      <w:r>
        <w:t>Considering that, while the unilateral termination of commercial relations by a supplier or a refusal to sell may engage the liability of their author before the competent jurisdiction on the basis of Article 36 of the ordinance of December 1, 1986, such behaviors fall within the competence of the Competition Council only if they relate to a concerted action of an anti-competitive nature or to the abusive exploitation of a dominant position or to a state of economic dependence;</w:t>
      </w:r>
    </w:p>
    <w:p>
      <w:r>
        <w:t>Considering that the file communicated by the author of the referral does not contain any elements relating to the relevant market, to the dominant position of the company in question in this market or to the possible state of economic dependence in which it would find itself in relation to the latter;</w:t>
      </w:r>
    </w:p>
    <w:p>
      <w:r>
        <w:t>Considering that it follows from the above that it is necessary to apply the provisions of Article 19 of the ordinance of December 1, 1986,</w:t>
      </w:r>
    </w:p>
    <w:p>
      <w:r>
        <w:t xml:space="preserve">Decides:  </w:t>
        <w:br/>
        <w:t xml:space="preserve">Sole Article. - The referral registered under number F 679 is declared inadmissible.  </w:t>
        <w:br/>
        <w:t xml:space="preserve">Deliberated on the oral report of Mr. Jean-Pierre Bonthoux, by Mr. Cortesse, Vice-President, presiding, Bon, Marleix, and Rocca, members.  </w:t>
        <w:br/>
        <w:t xml:space="preserve">The substitute general rapporteur, The Vice-President, 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