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https://www.autoritedelaconcurrence.fr/fr/decision/relative-une-saisine-de-la-societe-3mce</w:t>
      </w:r>
    </w:p>
    <w:p>
      <w:r>
        <w:t>Pages translated : 2</w:t>
      </w:r>
    </w:p>
    <w:p/>
    <w:p>
      <w:r>
        <w:rPr>
          <w:b/>
        </w:rPr>
        <w:t>[Pages 1–2]</w:t>
      </w:r>
    </w:p>
    <w:p>
      <w:r>
        <w:t xml:space="preserve">Competition Council  </w:t>
        <w:br/>
        <w:t xml:space="preserve">Decision No. 99-D-72 of December 1, 1999  </w:t>
        <w:br/>
        <w:t xml:space="preserve">concerning a referral by the company 3MCE  </w:t>
        <w:br/>
        <w:t xml:space="preserve">The Competition Council (permanent commission),  </w:t>
        <w:br/>
        <w:t xml:space="preserve">Having regard to the letter registered on May 25, 1999 under number F 1147, by which the company 3MCE, whose trade name is "Quick," referred the Competition Council to practices implemented by the company Mac Donald’s France.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the Government Commissioner, and the representative of the company 3MCE heard;  </w:t>
        <w:br/>
        <w:t xml:space="preserve">After deliberation outside the presence of the rapporteur and the general rapporteur;  </w:t>
        <w:br/>
        <w:t xml:space="preserve">Considering that the company 3MCE claims that the company Mac Donald’s France holds a dominant position due to "exorbitant advantages of common law" that it obtained following the signing, on the one hand, of an agreement with the Chamber of Commerce and Industry Nice Côte d’Azur, dated August 12, 1997, allowing it to use and exploit part of the public road for its drive-in restaurant activity and, on the other hand, of a second agreement signed on April 24, 1998 with the city of Nice, represented by its mayor duly authorized by the municipal council resolution No. 1-6 dated April 1, 1998 received at the prefecture on April 24, 1998; that, in this latter agreement, the city of Nice, firstly, approves the sub-concession agreement entered into by this company with the Chamber of Commerce and Industry Nice Côte d’Azur, secondly, gives its consent for a sub-concession agreement to be entered into with the company managing the parking of the promenade du Paillon in order to allow the exit onto the public road of the track serving the "auto bank counter," and, thirdly, authorizes the company Mac Donald’s to occupy a premises belonging to the public domain of the city, in exchange for the payment of determined fees, in order to operate a fast food business including a "drive-in" service;  </w:t>
        <w:br/>
        <w:t xml:space="preserve">Considering that by a decision dated October 18, 1999, concerning Paris airport, the Conflict Tribunal noted that, "if to the extent that they carry out activities of production, distribution or services, public entities may be sanctioned by the Competition Council acting under the control of the judicial authority, the decisions by which these entities assume the public service mission that is incumbent upon them through the exercise of public power prerogatives fall within the jurisdiction of the administrative court to assess their legality, and, where appropriate, to rule on the liability incurred by public entities..."; that it also specified that "decisions related to the management of the public domain constitute the exercise of public power prerogatives"; that the agreements challenged by the referring company are acts of management of the public domain; that thus, their examination falls outside the jurisdiction of the Competition Council;  </w:t>
        <w:br/>
        <w:t xml:space="preserve">Considering, moreover, and independently of the assessment of these acts, that the referring party does not argue that the company Mac Donald’s engaged in practices of abuse of a dominant position but only claims that this company acquired or strengthened such a position following the disputed agreements; that even assuming such a position is established, it is recalled that the creation or strengthening of a dominant position is not in itself prohibited, only the abuse that actually occurs is contrary to the provisions of Article 8 of the ordinance of December 1, 1986; that, consequently, the facts invoked do not fall within the scope of the Competition Council's jurisdiction;  </w:t>
        <w:br/>
        <w:t xml:space="preserve">Considering that, under these conditions, it is necessary to apply the provisions of Article 19 of the ordinance of December 1, 1986 and to declare the referral by the company 3MCE inadmissible,  </w:t>
        <w:br/>
        <w:t xml:space="preserve">DECIDES:  </w:t>
        <w:br/>
        <w:t xml:space="preserve">Sole Article: The referral by the company 3MCE is declared inadmissible.  </w:t>
        <w:br/>
        <w:t xml:space="preserve">Deliberated, on the report of Ms. Bleys, by Ms. Hagelsteen, president, Ms. Pasturel and Mr. Cortesse, vice-presidents.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