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https://www.autoritedelaconcurrence.fr/fr/decision/relative-une-saisine-de-la-societe-cgu-courtage-concernant-un-marche-public-de-lopac-de</w:t>
      </w:r>
    </w:p>
    <w:p>
      <w:r>
        <w:t>Pages translated : 9</w:t>
      </w:r>
    </w:p>
    <w:p/>
    <w:p>
      <w:r>
        <w:rPr>
          <w:b/>
        </w:rPr>
        <w:t>[Pages 1–3]</w:t>
      </w:r>
    </w:p>
    <w:p>
      <w:r>
        <w:t xml:space="preserve">FRENCH REPUBLIC  </w:t>
        <w:br/>
        <w:t xml:space="preserve">Decision No. 02-D-76 of December 19, 2002  </w:t>
        <w:br/>
        <w:t xml:space="preserve">regarding a referral from the company CGU Courtage  </w:t>
        <w:br/>
        <w:t xml:space="preserve">concerning a public contract of the OPAC of Villeurbanne  </w:t>
        <w:br/>
        <w:t xml:space="preserve">The Competition Council (section I),  </w:t>
        <w:br/>
        <w:t xml:space="preserve">Having regard to the letter registered on April 22, 2000, under number F 1212, by which the company CGU Courtage referred to the Competition Council practices, falling under Articles L. 420-1 and L. 420-2 of the Commercial Code, implemented by the company Groupalpha, the trade union chamber of insurance brokers of the Rhône-Alpes Auvergne region, and the association for the defense of brokerage users;  </w:t>
        <w:br/>
        <w:t xml:space="preserve">Having regard to Book IV of the Commercial Code relating to price freedom and competition, Decree No. 86-1309 of December 29, 1986, as amended, taken for the application of Ordinance No. 86-1243 of December 1, 1986, as well as Decree No. 2002-689 of April 3, 2002, setting the conditions for the application of Book IV of the Commercial Code;  </w:t>
        <w:br/>
        <w:t xml:space="preserve">Having regard to the decision on business secrecy No. 02-DSA-No. 13 of April 17, 2002, by which the president of the Competition Council ruled on the request presented by the Bruno Perret Cabinet;  </w:t>
        <w:br/>
        <w:t xml:space="preserve">Having regard to the observations presented by the Government Commissioner and by the company CGU Courtage;  </w:t>
        <w:br/>
        <w:t xml:space="preserve">Having regard to the other documents in the file;  </w:t>
        <w:br/>
        <w:t xml:space="preserve">The rapporteur, the deputy general rapporteur, the Government Commissioner, and the company CGU Courtage heard during the session of November 12, 2002;  </w:t>
        <w:br/>
        <w:t xml:space="preserve">Adopts the decision based on the findings (I) and the reasons (II) set forth below:  </w:t>
        <w:br/>
        <w:t xml:space="preserve">I. – Findings  </w:t>
        <w:br/>
        <w:t xml:space="preserve">1 - At the time of the practices denounced, the rental property of the OPAC of Villeurbanne represented an area of 586,282 square meters insured on the basis of a fluctuating rate, since 1993, between 2 francs and 2.75 francs per square meter, with a deductible of 3,000 francs per claim. At the end of September 1998, the ongoing contracts maturing, the OPAC entered into a multi-risk insurance contract for their renewal.  </w:t>
        <w:br/>
        <w:t xml:space="preserve">A. PUBLIC SERVICE CONTRACTS OF LOCAL AUTHORITIES  </w:t>
        <w:br/>
        <w:t xml:space="preserve">Regulatory Provisions  </w:t>
        <w:br/>
        <w:t xml:space="preserve">2 - Until 1998, no provision required local authorities and their public establishments to resort to a prior competitive bidding process for the awarding of their insurance contracts.  </w:t>
        <w:br/>
        <w:t xml:space="preserve">3 - The European Directive 92/50 of June 18, 1992, on the coordination of procedures for the award of public service contracts, transposed into French law, notably by Law No. 97/50 of January 22, 1997, and the implementing Decree No. 98/111 of February 27, 1998, resulted in the submission of insurance contracts of local authorities and their public establishments to the public procurement code.  </w:t>
        <w:br/>
        <w:t xml:space="preserve">4 - Two successive ministerial application circulars were issued, the first on July 27, 1998, the second on July 30, 1999. Decree No. 99-634 of July 19, 1999, amended the public procurement code accordingly and completed the reform.  </w:t>
        <w:br/>
        <w:t xml:space="preserve">5 - The public entities concerned must now comply with the rules of competitive bidding and publicity for service contracts. However, when it comes to an insurance contract, they may grant a mandate to an insurance broker to organize the selection procedure for candidates. In this case, the broker will not be able to participate in the tender.  </w:t>
        <w:br/>
        <w:t xml:space="preserve">B. THE BROKER PROFESSION  </w:t>
        <w:br/>
        <w:t xml:space="preserve">Function  </w:t>
        <w:br/>
        <w:t xml:space="preserve">6 - The broker is an intermediary between buyers of insurance products (companies, local authorities, certain individuals) and mutuals and insurance companies. His function consists of conducting a study of the insurance needs of his client, then seeking the insurer best able to meet those needs and also marketing insurance contracts. Once the contract is concluded, he monitors its proper execution and compliance by both parties. He is generally compensated in the form of commissions.  </w:t>
        <w:br/>
        <w:t xml:space="preserve">7 - The broker can be the advisor of the public entity or the representative of the insurance company bidding for the contract, but he must not combine both functions.  </w:t>
        <w:br/>
        <w:t xml:space="preserve">8 - The entity that delegates to a broker the organization of the selection procedure does not relinquish its competencies since it is responsible for concluding the contract, as provided for in the circular of July 27, 1998: "a mandate is given to the broker to proceed with the competitive bidding of insurance companies; this mandate must be established in writing and require him to put several insurance companies in competition under the conditions provided for in the public procurement code; at the end of this procedure, it is naturally up to the public entity to make its choice."  </w:t>
        <w:br/>
        <w:t xml:space="preserve">9 - The most important broker in France is the company Gras Savoye, followed by the two global leaders, the American groups MMC (Marsh &amp; McLennan, now Marsh SA) and Aon, then the group of Assurances Verspieren. These four brokers, present in the Lyon metropolitan area, participated in the OPAC of Villeurbanne's tender in 1998.  </w:t>
        <w:br/>
        <w:t xml:space="preserve">Professional Organization  </w:t>
        <w:br/>
        <w:t xml:space="preserve">10 - In the Rhône-Alpes region, the Sycra (trade union chamber of insurance brokers Rhône-Alpes/Auvergne) groups 148 members, including 113 in the Rhône department. Among these members, the aforementioned groups Gras Savoye, Marsh, Aon, as well as the main independent Lyon brokers, such as the Dufaud Courtage group and the MVRA company, are present.  </w:t>
        <w:br/>
        <w:t xml:space="preserve">C. THE MARKET OF THE OPAC OF VILLEURBANNE  </w:t>
        <w:br/>
        <w:t xml:space="preserve">The Tender  </w:t>
        <w:br/>
        <w:t xml:space="preserve">11 - In September 1998, the OPAC of Villeurbanne launched a call for competition for the awarding of a public insurance contract. The Tec-Habitat study office was the project manager for the operation.  </w:t>
        <w:br/>
        <w:t xml:space="preserve">12 - The announcement was published on September 25, 1998, in the daily Le Progrès and, on October 1, 1998, in the BOAMP. It was worded as follows:  </w:t>
        <w:br/>
        <w:t xml:space="preserve">"Subject of the contract: Multi-Risk Insurance of the Rental Property of the OPAC. The consultation is reserved for insurers or insurance brokers.  </w:t>
        <w:br/>
        <w:t xml:space="preserve">(...) The contract will be awarded based on:  </w:t>
        <w:br/>
        <w:t xml:space="preserve">The quality of the services;  </w:t>
        <w:br/>
        <w:t xml:space="preserve">The price of the services;  </w:t>
        <w:br/>
        <w:t xml:space="preserve">The references."  </w:t>
        <w:br/>
        <w:t xml:space="preserve">13 - The commission for examining applications, convened on October 8, 1998, selected seven companies to which the consultation regulations were transmitted. These regulations provided that the consultation was open "to general insurance agents and to brokers and insurance brokerage companies," and indicated the two requested variant solutions: deductible 5,000 F and deductible 10,000 F, with the base offer corresponding to a deductible of 3,000 F. A table listing the claims that occurred since 1996 was attached as an annex to the consultation regulations.  </w:t>
        <w:br/>
        <w:t>14 - The specifications detailed the guarantees according to the types of claims and the duration of the contract (2 years and 9 months, effective from April 1, 1999, expiring on December 31, 1999, with tacit renewal for the</w:t>
      </w:r>
    </w:p>
    <w:p>
      <w:r>
        <w:rPr>
          <w:b/>
        </w:rPr>
        <w:t>[Pages 4–6]</w:t>
      </w:r>
    </w:p>
    <w:p>
      <w:r>
        <w:t xml:space="preserve">two full subsequent years) and included as an annex a detailed list of the assets to be insured.  </w:t>
        <w:br/>
        <w:t xml:space="preserve">15 - On November 17, 1998, the commission proceeded to open the price offers from the six candidates. The Verspieren group did not respond, the Sase company submitted three offers, with three different insurance companies.  </w:t>
        <w:br/>
        <w:t xml:space="preserve">16 - The offers concerning the base offer and the variants were as follows:  </w:t>
        <w:br/>
        <w:t xml:space="preserve">Bidder Base Variant 1 Variant 2  </w:t>
        <w:br/>
        <w:t xml:space="preserve">gras savoye/……………. 1,143,250 938,060 732,860  </w:t>
        <w:br/>
        <w:t xml:space="preserve">Independent of Insurances  </w:t>
        <w:br/>
        <w:t xml:space="preserve">groupalpha/mga……….. 1,231,192 1,113,936 1,055,308  </w:t>
        <w:br/>
        <w:t xml:space="preserve">sase/mga………………… 1,231,200 1,114,000 1,055,500  </w:t>
        <w:br/>
        <w:t xml:space="preserve">perret/cgu……………… 1,278,094 1,049,445 938,051  </w:t>
        <w:br/>
        <w:t xml:space="preserve">sase/cgu………………… 1,336,800 1,160,900 1,049,500  </w:t>
        <w:br/>
        <w:t xml:space="preserve">sase/smacl……………… 1,377,800 1,114,000 1,055,500  </w:t>
        <w:br/>
        <w:t xml:space="preserve">sedgwick/mma………….. 1,600,549 1,354,311 996,679  </w:t>
        <w:br/>
        <w:t xml:space="preserve">joliez-regol/  </w:t>
        <w:br/>
        <w:t xml:space="preserve">saint-paul international 1,700,216 1,462,187 1,264,962  </w:t>
        <w:br/>
        <w:t xml:space="preserve">17 - On November 27, 1998, the three candidates considered to be the best bidders (the companies Groupalpha, Gras Savoye, and Bruno Perret) were interviewed by the OPAC for a more detailed presentation of their offers.  </w:t>
        <w:br/>
        <w:t xml:space="preserve">18 - The analysis report of the offers, dated December 15, 1998, prepared by the Tec-Habitat study office, mentions, regarding the offer from the Bruno Perret firm, that it "brings its offer down to 1,242,918 F including tax per year for the base and to 1,025,993.50 F including tax per year for variant 1 (deductible 5,000 F) and maintains its price for 22 months if the claims to premium ratio is below 150%, which provides certain visibility over this period given the evolution of claims."  </w:t>
        <w:br/>
        <w:t xml:space="preserve">19 - Its good performance being recognized, regarding the management and follow-up of claims, the Bruno Perret firm, associated with the CGU Courtage company, was declared the awardee of the contract, at an annual price of 1,025,993.50 F including tax (i.e., 1.75 F/m²).  </w:t>
        <w:br/>
        <w:t xml:space="preserve">D. THE FACTS  </w:t>
        <w:br/>
        <w:t xml:space="preserve">The "pre-consultation"  </w:t>
        <w:br/>
        <w:t xml:space="preserve">20 - In May 1998, the Groupalpha company organized a consultation of the insurance companies in the Lyon metropolitan area indicating: "Our client for over 10 years, the Opac of Villeurbanne, asks us to question you for a Multirisque PNO proposal with a view to a possible subscription for January 1, 1999. We would like to know if you are interested in principle in studying this file, given the details below (...)", followed by indications relating to the assets concerned and the claims that occurred from 1993 to 1997, the amount of the deductible and its probable evolution. A statistical report of claims over three years as well as the list of the buildings concerned and the annual budget were also communicated.  </w:t>
        <w:br/>
        <w:t xml:space="preserve">21 - The CGU Courtage company responded: "Following our telephone communication today, we confirm that our rate is approximately 5 francs per m² with a deductible of 3,000. The commissions remain to be determined. We classify this file without follow-up."  </w:t>
        <w:br/>
        <w:t xml:space="preserve">The offer from the CGU Courtage company within the framework of the contract  </w:t>
        <w:br/>
        <w:t xml:space="preserve">22 - During the call for tenders launched by the OPAC of Villeurbanne, the Groupalpha company consulted again the insurance companies that had responded to the pre-consultation, with the exception of CGU Courtage, and then presented an offer with the MGA company.  </w:t>
        <w:br/>
        <w:t xml:space="preserve">23 - The CGU Courtage company indicates in its submission that, contacted by the SASE insurance company on one hand, and the Bruno Perret firm on the other, it made initial proposals amounting to approximately 1.98 francs per square meter, in association with the SASE company, and approximately 1.79 francs per square meter, in association with the Bruno Perret firm. It specifies in this regard that on this occasion, it recalculated and realized that it had made a significant error in proposing a rate of 5 francs per square meter to the Groupalpha company in June 1998.  </w:t>
        <w:br/>
        <w:t xml:space="preserve">24 - The Bruno Perret firm, having made an additional effort during the detailed presentation made to the OPAC, as mentioned above, was awarded the contract in association with the CGU Courtage company.  </w:t>
        <w:br/>
        <w:t xml:space="preserve">The reaction of the Groupalpha company  </w:t>
        <w:br/>
        <w:t xml:space="preserve">25 - The Groupalpha company, learning of the award of the OPAC contract to the Perret firm, associated with the CGU Courtage company, for a price of around 1.75 francs per square meter, considered itself to have been excluded from the market and to have suffered harm, "due to the fault of CGU Courtage" which had communicated to it an exorbitant proposal in June 1998. Supported by the representative organizations of brokers, the Groupalpha company considered that by offering very different prices to two brokers, the CGU Courtage company did not respect the practices of Lyon brokerage, which provide, notably, that "when a company is approached with a case by a provider to whom it has given a quotation, it must give the same quotation to any other intermediary who proposes the same project for the same case."  </w:t>
        <w:br/>
        <w:t xml:space="preserve">26 - The Groupalpha company, the trade union chamber of insurance brokers of the Rhône-Alpes Auvergne region, and the association for the defense of brokerage users brought the case before the commercial court of Lyon and requested, in addition to the repair of the harm and damages, that the publication of the judgment be ordered in two specialized journals L'argus and l'Assurance Française.  </w:t>
        <w:br/>
        <w:t xml:space="preserve">The defenses of the CGU Courtage company  </w:t>
        <w:br/>
        <w:t xml:space="preserve">27 - In response to these requests, the CGU Courtage company explained that the pre-consultation launched by the Groupalpha company constituted a scheme aimed at knowing the pricing of different insurers before competing brokers, and then excluding them by invoking a prior consultation. It argued that there could be no direct correlation between the calculation error made by it during the pre-consultation and the fact that the Groupalpha company was not retained in the framework of the call for tenders, especially since it had not consulted it at the time of this call for tenders.  </w:t>
        <w:br/>
        <w:t xml:space="preserve">E. THE OBJECT OF THE REFERRAL TO THE COMPETITION COUNCIL  </w:t>
        <w:br/>
        <w:t xml:space="preserve">28 - The CGU Courtage company accuses the Groupalpha company of: on one hand, having organized a "pre-consultation" of insurers in May 1998, concerning the real estate portfolio of this organization, not in the context of its function as a broker but in order to gain access to information on the pricing of insurers as early as June 1998, in anticipation of the launch of the call for tenders on September 29, 1998, which would constitute anti-competitive practices; on the other hand, of not having consulted it in the framework of this call for tenders, thus abusing its dominant position in this market.  </w:t>
        <w:br/>
        <w:t xml:space="preserve">29 - Furthermore, the CGU Courtage company qualifies the action brought before the commercial court of Lyon by the Groupalpha company, supported by the trade union chamber of insurance brokers of the Rhône-Alpes Auvergne region and the association for the defense of brokerage users, as a "discrediting maneuver aimed at discrediting it."  </w:t>
        <w:br/>
        <w:t xml:space="preserve">F) THE REPORT OF NON-PLACE  </w:t>
        <w:br/>
        <w:t>30 - In light of these findings, the rapporteur proposed to the Council to pronounce a non-place to continue the procedure in application of Article L. 464-6 of the Commercial Code.</w:t>
      </w:r>
    </w:p>
    <w:p>
      <w:r>
        <w:rPr>
          <w:b/>
        </w:rPr>
        <w:t>[Pages 7–9]</w:t>
      </w:r>
    </w:p>
    <w:p>
      <w:r>
        <w:t xml:space="preserve">II. – Based on the preceding findings  </w:t>
        <w:br/>
        <w:t xml:space="preserve">31 - Under Article L. 464-6 of the Commercial Code, "when no practice likely to harm competition in the market is established, the Competition Council may decide (...) that there is no need to pursue the procedure."  </w:t>
        <w:br/>
        <w:t xml:space="preserve">Regarding practices related to pre-consultation  </w:t>
        <w:br/>
        <w:t xml:space="preserve">32 - The company CGU Courtage argues that the company Groupalpha cannot deny having been aware, at the time of the pre-consultation in May 1998, of the provisions of Law No. 97-50 of January 22, 1997, and the implementing Decree No. 98-111 of February 27, 1998, cited above, as well as the project for the launch by the OPAC of Villeurbanne, in the short or medium term, of the competitive bidding procedure; it asserts, in this regard, that the company Groupalpha has not demonstrated that it periodically conducted such consultations as part of its role as a broker and that consequently, it is established that the pre-consultation was motivated solely by the prospect of being able to respond to the future contract of the OPAC and allowed the company Groupalpha to obtain information on the pricing of insurers before other brokers, which limited their access to the OPAC insurance market and distorted the free exercise of competition.  </w:t>
        <w:br/>
        <w:t xml:space="preserve">33 - As specified by the Paris Court of Appeal in a ruling of January 9, 2001, SEEE, an anti-competitive collusion practice can only be sanctioned if the companies involved have freely and voluntarily participated in a concerted action, knowing that it was intended to or could have the effect of preventing, restricting, or distorting competition in the market.  </w:t>
        <w:br/>
        <w:t xml:space="preserve">34 - In this case, while it is indisputable that the company Groupalpha should have been aware of the upcoming modification of the legal framework for public or similar insurance, which consisted of subjecting the awarding of insurance contracts to the provisions of the public procurement code, it remains, on the one hand, that the practice of pre-consultation for which it is reproached occurred before the publication of the implementing circular of July 27, 1998, and, on the other hand, that its approach fell within the scope of its initial mission as a broker for the OPAC, under the legal and regulatory regime that had prevailed until then.  </w:t>
        <w:br/>
        <w:t xml:space="preserve">35 - Furthermore, it is not demonstrated that the information gathered during this consultation, even taking into account the "practices of Lyon brokerage," would have allowed this company to benefit from a privileged position in the context of the call for tenders launched by the OPAC of Villeurbanne, which it did not win, in any case.  </w:t>
        <w:br/>
        <w:t xml:space="preserve">36 - Finally, no element of the investigation reveals any price collusion between the company Groupalpha and other brokers or abusive practices resulting from its position with the OPAC, either in the form of obtaining privileged information from the latter or in the form of pressures exerted on this establishment to obtain the contract. Thus, it is not demonstrated that the pre-consultation conducted, even if it allowed the company Groupalpha to know the price levels of future competitors, would have led to a concerted action of which the participants were aware that it was intended to, or could have the effect of, limiting access to the market or obstructing the free setting of prices.  </w:t>
        <w:br/>
        <w:t xml:space="preserve">37 - The company CGU Courtage further reproaches the company Groupalpha for not having consulted it in the context of the tender procedure of September 1998.  </w:t>
        <w:br/>
        <w:t xml:space="preserve">38 - However, it appears from the case files that the failure to consult the company CGU Courtage at the time of the September 1998 call for tenders is explained by the particularly high amount of the proposal made by this company during the pre-consultation (5 francs/m²). Moreover, this abstention did not in any way hinder access to the OPAC insurance market, since the consultation was launched publicly and all brokers and insurers were able to be informed and submit offers, including the company CGU Courtage, which ultimately won the contract.  </w:t>
        <w:br/>
        <w:t xml:space="preserve">39 - Consequently, it follows from the preceding elements that it is not established that the company Groupalpha, through the pre-consultation it organized in May 1998, implemented a practice of anti-competitive collusion prohibited by the provisions of Article L. 420-1 of the Commercial Code.  </w:t>
        <w:br/>
        <w:t xml:space="preserve">Regarding the alleged disparagement  </w:t>
        <w:br/>
        <w:t xml:space="preserve">40 - The company CGU Courtage states that the action brought before the commercial court of Lyon, jointly, by the company Groupalpha, the trade union chamber of insurance brokers of the Rhône-Alpes Auvergne region, and the association for the defense of brokerage users, as well as the request for publication of the judgment made in this context, constitutes a practice of disparagement that falls under the abuse of dominant position for the company Groupalpha, and collusion concerning the other plaintiffs.  </w:t>
        <w:br/>
        <w:t xml:space="preserve">41 - However, it follows from consistent case law that the act of taking legal action as well as the requests made in this context are the "expression of the fundamental right of access to the judge," and cannot be qualified as an abuse, "(...) unless a company in a dominant position brings legal actions that cannot reasonably be considered as aimed at asserting its rights and can therefore only serve to harass the opponent, and which are designed within the framework of a plan aimed at eliminating competition" (point 11 of the European Commission decision IV 35268 of May 21, 1996 ITT Promédia NV/Belgacom). In a ruling on this same decision (T-111/96 of July 17, 1998 ITT Promedia NV/Comm. CE), the Court of First Instance of the European Communities validated this analysis: "(...) it is important to emphasize, as rightly pointed out by the Commission, that the ability to assert one's rights through judicial means and the judicial control it implies is the expression of a general principle of law that underlies the constitutional traditions common to the Member States and which has also been enshrined in Articles 6 and 13 of the European Convention for the Protection of Human Rights and Fundamental Freedoms of November 4, 1950 (...). Access to the judge being a fundamental right and a general principle guaranteeing respect for the law, it is only in truly exceptional circumstances that the act of taking legal action is likely to constitute an abuse of dominant position within the meaning of Article 86 of the Treaty. Furthermore, it should be noted that, constituting an exception to the general principle of access to the judge, guaranteeing respect for the law, the two cumulative criteria must be interpreted and applied restrictively, so as not to undermine the application of the general principle (...)" (points 60 and 61).  </w:t>
        <w:br/>
        <w:t xml:space="preserve">42 - The Competition Council adopted a similar analysis based on the requirement of the same two cumulative conditions in its decisions No. 99-D-77 of December 7, 1999, No. 00-D-24 of May 10, 2000, and 02-D-35 of June 13, 2002; moreover, the Court of Cassation, in a ruling of the commercial chamber No. 1675 dated October 9, 2001, recalled that the abuse of rights implies the intention to harm.  </w:t>
        <w:br/>
        <w:t xml:space="preserve">43 - In this case, no element of the file allows us to consider that the action brought by the company Groupalpha, the trade union chamber of insurance brokers of the Rhône-Alpes Auvergne region, and the association for the defense of brokerage practices does not respond to any motivation other than that of asserting and recognizing their rights. Furthermore, the publication of the judgment is part of the remedial measures that can be ordered by the adjudicating authorities, and the request for it to be ordered cannot be considered an anti-competitive practice contrary to the provisions of Articles L. 420-1 of the Commercial Code, or a potential abuse of dominant position prohibited by Article L. 420-2 of the Commercial Code.  </w:t>
        <w:br/>
        <w:t xml:space="preserve">44 - It follows from all the preceding elements that no practice likely to harm competition in the market is established in this case, and it is therefore appropriate to apply the provisions of Article L. 464-6 of the aforementioned Commercial Code.  </w:t>
        <w:br/>
        <w:t xml:space="preserve">DECIDES  </w:t>
        <w:br/>
        <w:t xml:space="preserve">Sole Article: There is no need to pursue the procedure.  </w:t>
        <w:br/>
        <w:t xml:space="preserve">Deliberated on the oral report of Ms. Bleys, by Mr. Nasse, Vice-President, presiding over the session, Ms. Perrot, Messrs. Charrière-Bournazel, Lasserre, and Piot, members.  </w:t>
        <w:br/>
        <w:t xml:space="preserve">The session secretary The Vice-President, presiding over the session  </w:t>
        <w:br/>
        <w:t xml:space="preserve">Thierry Poncelet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