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https://www.autoritedelaconcurrence.fr/fr/decision/relative-une-saisine-de-la-societe-chepar-0</w:t>
      </w:r>
    </w:p>
    <w:p>
      <w:r>
        <w:t>Pages translated : 7</w:t>
      </w:r>
    </w:p>
    <w:p/>
    <w:p>
      <w:r>
        <w:rPr>
          <w:b/>
        </w:rPr>
        <w:t>[Pages 1–3]</w:t>
      </w:r>
    </w:p>
    <w:p>
      <w:r>
        <w:t xml:space="preserve">FRENCH REPUBLIC  </w:t>
        <w:br/>
        <w:t xml:space="preserve">Decision No. 05-D-30 of June 21, 2005  </w:t>
        <w:br/>
        <w:t>regarding a referral from the company Chepar</w:t>
      </w:r>
    </w:p>
    <w:p>
      <w:r>
        <w:t xml:space="preserve">The Competition Council (section IV),  </w:t>
        <w:br/>
        <w:t xml:space="preserve">Having regard to the letter registered on September 20, 2004 under number 04/0066 F, by which the company Chepar referred to the Competition Council practices implemented by the company Auchan;  </w:t>
        <w:br/>
        <w:t xml:space="preserve">Having regard to Articles 81 and 82 of the Treaty establishing the European Community;  </w:t>
        <w:br/>
        <w:t xml:space="preserve">Having regard to Book IV of the Commercial Code relating to the freedom of prices and competition and Decree 2002-689 of April 30, 2002 setting the conditions for its application;  </w:t>
        <w:br/>
        <w:t xml:space="preserve">Having regard to the other documents in the file;  </w:t>
        <w:br/>
        <w:t xml:space="preserve">The reporting judge, the deputy general reporter, the government commissioner, and the representatives of the company Chepar heard during the session of May 24, 2005;  </w:t>
        <w:br/>
        <w:t>Adopts the following decision:</w:t>
      </w:r>
    </w:p>
    <w:p>
      <w:r>
        <w:t xml:space="preserve">I. Findings  </w:t>
        <w:br/>
        <w:t xml:space="preserve">1. The company Chepar, which operates a hypermarket under the Leclerc brand in Cavaillon (Vaucluse), requests the Council to "note that the abandonment, by the community of communes, of the project to create the ZAC (concerted economic and commercial development zone) of Voguette in Cavaillon, the choice by the municipality of another procedure than the ZAC to make the area buildable, the private appropriation of the development of the commercial area by Ferrandis, developer for Auchan [and] the choice of the community of communes to favor the transfer of the Auchan hypermarket from Cavaillon to the Voguette area, are likely to create, due to their connection and complementarity to the benefit of the company Auchan, a situation of automatic abuse of dominant position or essential facility."  </w:t>
        <w:br/>
        <w:t>2. Consequently, the company Chepar requests the Council to order "the outright prohibition of the development by the company Auchan or its agents of the Voguette area in Cavaillon and the transfer of its hypermarket from Cavaillon to the said area."</w:t>
      </w:r>
    </w:p>
    <w:p>
      <w:r>
        <w:t xml:space="preserve">A. THE ABANDONMENT OF THE ZAC PROJECT ON THE VOGUETTE COMMERCIAL AREA IN CAVAILLON AND THE PURCHASE OF LAND BY A PRIVATE DEVELOPER  </w:t>
        <w:br/>
        <w:t xml:space="preserve">3. The company Chepar states that the Provence-Lubéron-Durance community of communes, chaired by the mayor of Cavaillon, is the project owner of the development operation of the Voguette commercial area in Cavaillon, for which it was considered to implement a concerted development zone (ZAC) procedure.  </w:t>
        <w:br/>
        <w:t xml:space="preserve">4. By resolution dated June 20, 2002, the council of the community of communes approved the mandate agreement entered into with the semi-public company Citadis, to carry out preliminary studies for the urbanization of a commercial area in the Voguette district. By a second resolution dated February 6, 2003, the community of communes set the terms of public consultation on the commercial area project. According to this resolution, this project aims to meet the following objectives: - to establish a commercial area that does not currently exist in the community's living area; - to strengthen the commercial dynamics of an expanded area allowing existing activities wishing to develop to join an attractive site complemented by new activities; - to enable balanced commercial development; - to capture a commercial flight observed in favor of the peripheral areas of Avignon.  </w:t>
        <w:br/>
        <w:t xml:space="preserve">5. The studies related to commercial programming were entrusted to the specialized firm Bérénice. This firm submitted its report in February 2003, which assumes that the hypermarket under the Auchan brand, currently located in the municipality of Cavaillon (route du Pertuis), would be transferred to the Voguette area due to, on the one hand, the turnover generated by this hypermarket which predisposes it to play a role in the area, and on the other hand, the access problems posed by the site currently occupied by Auchan.  </w:t>
        <w:br/>
        <w:t xml:space="preserve">6. An information meeting on the objectives pursued and the definition of the concerned perimeter was held on June 26, 2003. By resolution dated May 17, 2004, the municipality of Cavaillon decided to revise its local urban planning plan (PLU) according to the simplified procedure in order to open the so-called "La Voguette" district to urbanization.  </w:t>
        <w:br/>
        <w:t xml:space="preserve">7. The first consultation could not be completed, the community of communes reiterated its intention to create a ZAC in the Voguette district by a resolution dated June 24, 2004, in which it set the objectives of the zone and defined the terms in accordance with Article L. 300-2 of the Urban Planning Code. These terms provided for the drafting of articles in the press (two newspapers published in the department) and two public information meetings intended to present the project's orientations to the public with the availability of a collection of observations.  </w:t>
        <w:br/>
        <w:t xml:space="preserve">8. The company Chepar argues that the project to create a ZAC would have been abandoned by the Provence-Lubéron-Durance community of communes. This abandonment would be confirmed by the fact that the municipality of Cavaillon decided to revise its PLU according to the simplified procedure in order to make the lands in the Voguette area buildable while avoiding the procedure for creating a ZAC.  </w:t>
        <w:br/>
        <w:t xml:space="preserve">9. At the same time, the company Chepar denounces the intervention of a private developer, Mr. X..., head of two structures named Sofilit and Tercial, whose activities consist of creating commercial zones, mainly on behalf of Auchan. Mr. X... would have purchased land located in this area "massively" and would now hold 80% of the perimeter of the ZAC. The applicant notes that the city of Cavaillon has not preempted the acquisitions thus made, which would confirm, according to her, the abandonment of the ZAC project.  </w:t>
        <w:br/>
        <w:t xml:space="preserve">10. The company Chepar informs the Council that it has filed an appeal with the administrative judge for abuse of power against the deliberation of the municipality prescribing the revision of the PLU according to the simplified procedure for the Voguette zone.  </w:t>
        <w:br/>
        <w:t xml:space="preserve">B. AUCHAN'S POSITION ON THE RELEVANT CATCHMENT AREA AND THE PROJECT TO TRANSFER THE AUCHAN HYPERMARKET IN CAVAILLON  </w:t>
        <w:br/>
        <w:t xml:space="preserve">11. The company Chepar cites, in support of its application, the study by the Bérénice firm, submitted in February 2003 for the development of the Voguette economic and commercial activity zone, according to which Auchan operates:  </w:t>
        <w:br/>
        <w:t xml:space="preserve">− a hypermarket in Cavaillon, which, until 1996, was operated under the Mammouth brand, with a surface area of 5,900 m2. The turnover generated by this hypermarket is 71 million euros including tax;  </w:t>
        <w:br/>
        <w:t xml:space="preserve">− a hypermarket of 18,000 m2 located north of Avignon, in Le Pontet, in a commercial area grouping 30 specialized brands over a total area of 100,000 m2. The turnover generated by this store is 260 million euros including tax;  </w:t>
        <w:br/>
        <w:t xml:space="preserve">− a hypermarket of 12,000 m2 located south of Avignon in a commercial area of 27,000 m2. The turnover generated by this store is 107 million euros including tax.  </w:t>
        <w:br/>
        <w:t xml:space="preserve">12. The company Chepar recalls that, in its decision No. 01-D-12 of April 12, 2001, confirmed by the Paris Court of Appeal in its ruling of February 26, 2002, the Competition Council estimated, based on the data from the administrative investigation and the accessibility criteria retained by the profession, that the catchment area of the hypermarkets in Cavaillon did not include the municipalities of Le Pontet and Avignon south and that in the relevant market thus geographically delimited, the company Auchan was not in a dominant position. However, it argues that the catchment area in which it operates with its store located in Cavaillon covers the Avignon-East/Cavaillon area and also includes the three Auchan hypermarkets listed above, the Casino hypermarket south of Avignon, and the Intermarché hypermarket in L'Isle-sur-la-Sorgue.  </w:t>
        <w:br/>
        <w:t xml:space="preserve">13. In this catchment area, the company Auchan would be, according to the company Chepar, in a dominant position since the three establishments of the group alone have 35,900 m2 of sales areas while the company Chepar has only 3,800 m2, the Casino company 6,000 m2, and the Intermarché company 3,200 m2.  </w:t>
        <w:br/>
        <w:t>14. The company Chepar argues that with the project to transfer to the Voguette commercial area and according to the study by the Bérénice firm, the Auchan hypermarket would see its commercial surface increase from 3,000 to 4,000 m2 for an additional turnover of 20 million euros, and its attraction would be further strengthened by the presence of satellite brands within a "village Auchan" that would have at least 20,000 m2 of additional commercial sales area. In particular, the Decathlon store would leave the area where the Leclerc hypermarket is located to establish itself in the</w:t>
      </w:r>
    </w:p>
    <w:p>
      <w:r>
        <w:rPr>
          <w:b/>
        </w:rPr>
        <w:t>[Pages 4–6]</w:t>
      </w:r>
    </w:p>
    <w:p>
      <w:r>
        <w:t xml:space="preserve">new Voguette area with a commercial surface that would increase from 900 m2 to 2,000 m2.  </w:t>
        <w:br/>
        <w:t xml:space="preserve">15. After the transfer, the company Auchan would hold, according to the applicant, 74.40% of the commercial sales areas and 81.25% of the total turnover of the area. This situation would exist even in a catchment area restricted to the municipality of Cavaillon, because after the transfer, Auchan would have commercial areas two and a half times larger than that of the Chepar/Leclerc hypermarket and would achieve a turnover two and a half times higher than that of this hypermarket.  </w:t>
        <w:br/>
        <w:t xml:space="preserve">16. The company Chepar also states that the Cavaillon town hall has been opposing its own expansion projects for several years on the grounds that its current location area would not allow it, and recommends a transfer to another area. After the failure of a previous project, the company Chepar would have agreed to wait to apply for the transfer to the Voguette area. It argues that this project would not undermine the current balances in the Avignon-east/Cavaillon catchment area.  </w:t>
        <w:br/>
        <w:t xml:space="preserve">C. THE MEMORANDUM SUBMITTED BY THE COMPANY CHEPAR ON MAY 12, 2005  </w:t>
        <w:br/>
        <w:t xml:space="preserve">17. In a memorandum dated May 12, 2005, the company Chepar withdraws its application as it is directed against the Provence-Lubéron-Durance community of communes and the municipality of Cavaillon on the grounds that these local authorities have not taken any administrative action since September 2004 and that they have limited themselves to studying the buildability of the area within the framework of the revision of the POS and the creation of a concerted development zone which, according to the applicant, is unlikely to come to fruition.  </w:t>
        <w:br/>
        <w:t xml:space="preserve">18. On the other hand, the company Chepar develops its criticism of the actions of the company Auchan which would appropriate, through the company Sofilit, a real estate asset essential for the development of a large-scale commercial project. The company Chepar qualifies the lands in the Voguette district as "essential facilities" because it considers them to be the only area capable of receiving significant commercial infrastructure, equipped with a village of "sister" brands in its periphery.  </w:t>
        <w:br/>
        <w:t xml:space="preserve">II. Discussion  </w:t>
        <w:br/>
        <w:t xml:space="preserve">19. Article L. 462-8 of the Commercial Code states: "The Competition Council may declare, by reasoned decision, the application inadmissible for lack of interest or standing of the applicant, or if the facts are time-barred within the meaning of Article L. 462-7, or if it considers that the facts invoked do not fall within its jurisdiction. It may also reject the application by reasoned decision when it considers that the facts invoked are not supported by sufficiently probative elements."  </w:t>
        <w:br/>
        <w:t xml:space="preserve">A. ON A POSSIBLE ABUSE OF DOMINANT POSITION THAT WOULD BE CONSTITUTED BY THE PROJECT TO TRANSFER THE AUCHAN HYPERMARKET TO THE VOGUETTE COMMERCIAL AREA  </w:t>
        <w:br/>
        <w:t xml:space="preserve">20. As a primary point, it should be noted that the project to transfer the Auchan hypermarket from Cavaillon to the Voguette area is currently only a hypothesis, mentioned by the Bérénice firm in its report of February 2003, and which would be supported, according to the company Chepar, by the links that exist between Auchan and Mr. X... . The government commissioner confirmed in the session that no request for transfer to the concerned area has been submitted to the departmental commercial planning commission (CDUC). Furthermore, no development agreement has yet been concluded between the Provence-Lubéron-Durance community of communes and the company Sofilit, led by Mr. X... and which would have acquired a large part of the developable land. Finally, the abandonment of the ZAC project in the concerned area, alleged by the applicant, is not evidenced by any act taken by the municipality of Cavaillon.  </w:t>
        <w:br/>
        <w:t xml:space="preserve">21. Thus, the application of the company Chepar opposing the transfer of Auchan to the Voguette area is not supported by any probative element relating to the existence of this transfer.  </w:t>
        <w:br/>
        <w:t xml:space="preserve">22. Moreover, it follows from Articles L. 720-1 to L. 720-6 of the Commercial Code that the transfer of the Auchan hypermarket from Cavaillon to this area requires the authorization of the CDEC. It is indeed responsible for ruling on requests for operating authorization presented to it under the provisions of Articles L. 720-5 and L. 720-6. Projects aimed at extending the sales area of a retail store that has already reached the threshold of 300 square meters or that will exceed it by the realization of the project, as well as the creation or extension of a commercial complex with a total sales area of 300 square meters or more or that will exceed this threshold by the realization of the transfer, are notably subject to commercial operating authorization. These provisions apply to the projected extension, in the order of 3,000 to 4,000 additional square meters to reach a sales area of approximately 9,500 m2.  </w:t>
        <w:br/>
        <w:t xml:space="preserve">23. However, the decisions made by the CDEC are administrative acts implementing public power prerogatives, which the Tribunal des conflits has ruled, notably in a decision of October 18, 1999 (Aéroport de Paris), that they "fall within the jurisdiction of the administrative court to assess their legality and, if necessary, to rule on the liability incurred by these public entities." These decisions are therefore subject to challenge before the administrative court. It follows from consistent case law that it is the commission's responsibility, under the control of the judge of excess of power, to ensure compliance with the rules aimed at preserving the free play of competition, included in the Commercial Code, among which are those aimed at preventing the risks of abuse of dominant position (C.E. July 30, 2003, SA Caen Distribution request no. 227838). These decisions are also subject to challenge before the national commercial equipment commission whose case law has recalled its character as an administrative authority, within the meaning of the law of April 12, 2000 (C.E. November 5, 2003 request no. 238817).  </w:t>
        <w:br/>
        <w:t xml:space="preserve">B. ON THE POSSIBLE ABUSE OF DOMINANT POSITION THAT WOULD BE CONSTITUTED BY THE PREEMPTION OF A PART OF THE LANDS IN THE VOGUETTE AREA ALLEGED TO BE AN ESSENTIAL INFRASTRUCTURE TO WHICH THE COMPANY CHEPAR WOULD BE DENIED ACCESS  </w:t>
        <w:br/>
        <w:t xml:space="preserve">24. The Council recalled, in opinion no. 02-A-08, the conditions under which competition authorities, both national and community, may have been led to consider that an infrastructure was "essential" and that the holder must, consequently, grant access to it.  </w:t>
        <w:br/>
        <w:t xml:space="preserve">25. These conditions, which must be met cumulatively, are as follows:  </w:t>
        <w:br/>
        <w:t xml:space="preserve">− first, the infrastructure is owned by a company that holds a monopoly (or a dominant position);  </w:t>
        <w:br/>
        <w:t xml:space="preserve">− second, access to the infrastructure is strictly necessary (or indispensable) to carry out a competing activity in an upstream, downstream, or complementary market to that in which the holder of the infrastructure holds a monopoly (or a dominant position);  </w:t>
        <w:br/>
        <w:t xml:space="preserve">− third, the infrastructure cannot be reproduced under economically reasonable conditions by the competitors of the company that manages it;  </w:t>
        <w:br/>
        <w:t xml:space="preserve">− fourth, access to this infrastructure is denied or granted under unjustified restrictive conditions;  </w:t>
        <w:br/>
        <w:t xml:space="preserve">− fifth, access to the infrastructure is possible.  </w:t>
        <w:br/>
        <w:t xml:space="preserve">26. In support of its application, the company Chepar does not provide any element suggesting that access to the Voguette commercial area has been denied to it, as no decision has been made regarding the development of this area by the project owner. Furthermore, as recalled above, the establishment of a hypermarket in this area would require, in any case, the authorization of the CDEC, an authorization that is not automatically granted to the landowner or its partner. The acquisition of a large part of the land concerned by Mr. X... or one of the companies he manages cannot therefore be equated with a denial of access opposed to the company Chepar.  </w:t>
        <w:br/>
        <w:t xml:space="preserve">27. Moreover, the application of the provisions of the Commercial Code on commercial urban planning made to date by the competent authorities seems to exclude the establishment of two competing hypermarkets in the same area. Lands to be developed in a commercial zone cannot therefore constitute an infrastructure that can be shared between competing hypermarkets. The last condition recalled above would therefore not be met. In any case, it is unlikely, unless truly exceptional circumstances, that mere lands could be considered as an essential infrastructure.  </w:t>
        <w:br/>
        <w:t xml:space="preserve">28. It follows from the above that the company Chepar does not provide in support of its application any other element capable of demonstrating that the acquisition of these lands by Mr. X... or one of the companies he manages could constitute an abuse of dominant position.  </w:t>
        <w:br/>
        <w:t>29. It is therefore necessary to apply the provisions of Article L. 462-8 of the Commercial Code and to reject the application for lack of sufficiently probative elements.</w:t>
      </w:r>
    </w:p>
    <w:p>
      <w:r>
        <w:rPr>
          <w:b/>
        </w:rPr>
        <w:t>[Pages 7–7]</w:t>
      </w:r>
    </w:p>
    <w:p>
      <w:r>
        <w:t xml:space="preserve">DECISION  </w:t>
        <w:br/>
        <w:t xml:space="preserve">Article 1: The application registered under number 04/0066 F is rejected.  </w:t>
        <w:br/>
        <w:t xml:space="preserve">Deliberated on the oral report of Ms. Seulin, by Ms. Aubert, vice-president presiding over the session, Messrs. Combe, Flichy, Gauron, and Piot, members.  </w:t>
        <w:br/>
        <w:t xml:space="preserve">The session secretary, The vice-president,  </w:t>
        <w:br/>
        <w:t xml:space="preserve">Rita Sougoumarane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