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https://www.autoritedelaconcurrence.fr/fr/decision/relative-une-saisine-de-la-societe-concurrence-0</w:t>
      </w:r>
    </w:p>
    <w:p>
      <w:r>
        <w:t>Pages translated : 1</w:t>
      </w:r>
    </w:p>
    <w:p/>
    <w:p>
      <w:r>
        <w:rPr>
          <w:b/>
        </w:rPr>
        <w:t>[Pages 1–1]</w:t>
      </w:r>
    </w:p>
    <w:p>
      <w:r>
        <w:t>COUNCIL OF COMPETITION</w:t>
        <w:br/>
        <w:t>Decision No. 98-D-39 of June 16, 1998</w:t>
        <w:br/>
        <w:t>regarding a referral by the company Concurrence</w:t>
        <w:br/>
        <w:t>The Council of Competition (permanent commission),</w:t>
        <w:br/>
        <w:t>Having regard to the letter registered on December 7, 1995, under number F 820, by which the company Concurrence referred to the Council of Competition practices implemented by the company Sony France;</w:t>
        <w:br/>
        <w:t>Having regard to Ordinance No. 86-1243 of December 1, 1986, as amended, relating to the freedom of prices and competition, and Decree No. 86-1309 of December 29, 1986, as amended, adopted for its application;</w:t>
        <w:br/>
        <w:t>Having regard to the letter from the companies Concurrence and Semavem and Mr. Jean Chapelle, registered on May 13, 1998;</w:t>
        <w:br/>
        <w:t>Having regard to the other documents in the file;</w:t>
        <w:br/>
        <w:t>The rapporteur, the general rapporteur, and the Government commissioner having been heard;</w:t>
        <w:br/>
        <w:t>Considering that, by the aforementioned letter of May 13, 1998, the company Concurrence, the company Semavem, and Mr. Jean Chapelle have expressed their withdrawal from all referrals concerning the company Sony France;</w:t>
        <w:br/>
        <w:t>Considering that there is no need for the Council to take action ex officio,</w:t>
        <w:br/>
        <w:t>Decides</w:t>
        <w:br/>
        <w:t>Sole Article: The file registered under number F 820 is closed.</w:t>
        <w:br/>
        <w:t>Deliberated, on the oral report of Ms. Daudret-John, designated in replacement of Mr. Loïc Guérin, prevented, by Mr. Barbeau, president, Mr. Cortesse, vice-president, and Mr. Rocca, member, designated in replacement of Mr. Jenny, vice-president, prevented.</w:t>
        <w:br/>
        <w:t>The general rapporteur, The President,</w:t>
        <w:br/>
        <w:t>Marie Picard Charles Barbeau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