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https://www.autoritedelaconcurrence.fr/fr/decision/relative-une-saisine-de-la-societe-executive-relocations</w:t>
      </w:r>
    </w:p>
    <w:p>
      <w:r>
        <w:t>Pages translated : 8</w:t>
      </w:r>
    </w:p>
    <w:p/>
    <w:p>
      <w:r>
        <w:rPr>
          <w:b/>
        </w:rPr>
        <w:t>[Pages 1–3]</w:t>
      </w:r>
    </w:p>
    <w:p>
      <w:r>
        <w:t>FRENCH REPUBLIC</w:t>
        <w:br/>
        <w:t>Decision No. 08-D-11 of May 19, 2008</w:t>
        <w:br/>
        <w:t>regarding a referral from the company Executive Relocations</w:t>
        <w:br/>
        <w:t>The Competition Council (permanent commission),</w:t>
        <w:br/>
        <w:t>Having regard to the letter registered on October 3, 2006, under number 06/0069 F, by which the company Executive Relocations referred to the Competition Council the conditions under which structures belonging to the "1% housing" management sector offer services for the geographical mobility assistance of employees;</w:t>
        <w:br/>
        <w:t>Having regard to Articles 81 and 82 of the Treaty establishing the European Community;</w:t>
        <w:br/>
        <w:t>Having regard to Book IV of the Commercial Code relating to price freedom and competition;</w:t>
        <w:br/>
        <w:t>Having regard to the other documents in the file;</w:t>
        <w:br/>
        <w:t>The rapporteur, the deputy general rapporteur, the Government commissioner, and the representatives of the company Executive Relocations heard during the session of April 2, 2008;</w:t>
        <w:br/>
        <w:t>Adopts the following decision:</w:t>
      </w:r>
    </w:p>
    <w:p>
      <w:r>
        <w:t>I. Findings</w:t>
        <w:br/>
        <w:t>A. THE REFERRAL</w:t>
        <w:br/>
        <w:t>1. The company Executive Relocations challenges the conditions under which the managers of the "1% housing" intervene in the sector of professional geographical mobility support for employees. The activity of Executive Relocations, registered in France, itself involves supporting the national and international development of companies by providing services related to the practical, administrative, and cultural aspects of geographical mobility in France or abroad. In this capacity, it offers a housing search service. It is not approved by the Union of Social Economy for Housing (UESL), which federates the "1% housing" organizations.</w:t>
        <w:br/>
        <w:t>2. The National Union of Relocation and Mobility Professionals (SNPRM) groups 47 companies engaged in this activity from France.</w:t>
      </w:r>
    </w:p>
    <w:p>
      <w:r>
        <w:t>B. THE LEGISLATIVE AND REGULATORY CONTEXT OF "1% HOUSING"</w:t>
        <w:br/>
        <w:t>3. Employer participation in the construction effort has been mandatory for private sector companies since 1953. The rate of the financial contribution imposed on them in this regard was initially set at 1% of the payroll, hence the term "1% housing." It has been 0.95% since 1992. This participation aims to facilitate employees' access to home ownership by granting complementary loans, to develop the rental housing supply by financing construction or rehabilitation operations carried out by social landlords, and to enable access to rental housing by covering the security deposit or providing a guarantee for the benefit of the landlord.</w:t>
        <w:br/>
        <w:t>4. Only collecting organizations approved by the UESL are authorized to collect the financial contribution of "1% housing." These are exclusively the interprofessional housing committees (hereinafter "CILs"), the housing services of chambers of commerce and industry, as well as moderate rent housing organizations and certain mixed economy companies. These collecting organizations also ensure the redistribution of "1% housing" in the form of various aids.</w:t>
        <w:br/>
        <w:t>5. The CILs, which account for 98% of the collection, have the status of associations governed by the law of 1901 and have as their exclusive statutory purpose the collection and use of employer contributions to the construction effort. The UESL and the National Agency for Employer Participation in the Construction Effort (ANPEEC), a public establishment of an industrial and commercial nature, ensure compliance with the rules for collecting and redistributing the tax.</w:t>
        <w:br/>
        <w:t>6. The system, codified in Articles L. 313-1 and following and R. 313-30, R. 313-35-1 and following of the Construction and Housing Code, has evolved since its creation. In recent years, new uses of "1% housing" have emerged.</w:t>
      </w:r>
    </w:p>
    <w:p>
      <w:r>
        <w:t>7. Among the housing assistance offered are the following:</w:t>
        <w:br/>
        <w:t>• Loca-pass advance: an interest-free loan to finance the security deposit when signing a lease;</w:t>
        <w:br/>
        <w:t>• Loca-pass guarantee: a joint surety valid for the first three years of the lease;</w:t>
        <w:br/>
        <w:t>• Securi-pass loan: an interest-free advance to temporarily reduce the monthly repayments of a loan;</w:t>
        <w:br/>
        <w:t>• Pass-travaux loan: financial assistance for work on the principal residence.</w:t>
      </w:r>
    </w:p>
    <w:p>
      <w:r>
        <w:t>8. One assistance system is particularly concerned by the referral. It is the Mobili-pass assistance. Established by an amendment dated March 7, 2001, to an agreement signed on August 3, 1998, between the State and the UESL, it aims to reimburse the employee for additional costs related to changing housing during a professional mobility (transfer or hiring) involving a move of more than 70 kilometers in France. It is granted by the collectors of "1% housing," notably the CILs, to any employee of the obligated sector who requests it. Its amount, set at 1,600 euros under the so-called "open rights" procedure, can be increased to 3,200 euros with the agreement of the employer.</w:t>
      </w:r>
    </w:p>
    <w:p>
      <w:r>
        <w:t>9. The reimbursement of the employee's expenses is granted upon proof of the expenses incurred by him. For example, double residence expenses will be reimbursed upon presentation of rent receipts. Services rendered by a relocation company will be reimbursed upon presentation of the invoice issued by it. In 2006, Mobili-pass assistance was awarded to 45,387 beneficiaries for an amount of 87.7 million euros.</w:t>
      </w:r>
    </w:p>
    <w:p>
      <w:r>
        <w:t>10. The service provision, the conditions of which are specifically criticized by the referrer, is called CIL Pass-mobility. It is chargeable and can be financed by Mobili-pass assistance, like competing services. It is offered by commercial companies within the "1% housing" sphere, complying with conditions set out in Title V of the annex to Decree No. 90-392 of May 11, 1990, relating to the standard statutory clauses applicable to [CILs] (Official Journal of May 13), a title that defines the conditions for commercial activities related to "1% housing." These companies must be at least 66% owned by the CILs. In practice, nearly 100% of the capital is held by them. These companies are controlled by the ANPEEC, and their services must be approved by it.</w:t>
      </w:r>
    </w:p>
    <w:p>
      <w:r>
        <w:t>11. The CIL Pass-mobility service, which aims to facilitate the change of residence for employees in geographical mobility, covers:</w:t>
        <w:br/>
        <w:t>• the assessment of the family's needs;</w:t>
        <w:br/>
        <w:t>• the presentation of the region and the host city;</w:t>
        <w:br/>
        <w:t>• the housing search;</w:t>
        <w:br/>
        <w:t>• accompanied visits;</w:t>
        <w:br/>
        <w:t>• assistance with settling in.</w:t>
      </w:r>
    </w:p>
    <w:p>
      <w:r>
        <w:t>12. Four structures were cited by Executive Relocations in its referral as offering this service, namely Eurocil, CSE Mobilité, Cil-territoires, and Facilys (Facilys no longer exists today). In fact, these structures do not offer the CIL Pass Mobility service, which is directly sold by the commercial companies mentioned in the previous points. The said structures, referred to as platforms by the referrer, are economic interest groups established internally by the UESL in 2003, whose members are</w:t>
      </w:r>
    </w:p>
    <w:p>
      <w:r>
        <w:rPr>
          <w:b/>
        </w:rPr>
        <w:t>[Pages 4–6]</w:t>
      </w:r>
    </w:p>
    <w:p>
      <w:r>
        <w:t>exclusively from CILs or chambers of commerce and industry. They serve as resource centers intended to support and coordinate the actions of "1% housing" operators, but they themselves do not have contact with the beneficiaries.</w:t>
      </w:r>
    </w:p>
    <w:p>
      <w:r>
        <w:t>13. The following table outlines the evolution of the distribution of Mobili-pass aid and the CIL-Pass Mobility service:</w:t>
      </w:r>
    </w:p>
    <w:p>
      <w:r>
        <w:t>Cumulative at the 3rd</w:t>
        <w:br/>
        <w:t>In number 2005 2006</w:t>
        <w:br/>
        <w:t>quarter 2007</w:t>
        <w:br/>
        <w:t>Mobili-Pass Aid 40,104 45,387 34,689</w:t>
        <w:br/>
        <w:t>CIL-Pass Mobility 7,147 9,157 7,260</w:t>
        <w:br/>
        <w:t>Rate (*) 17.82% 20.18% 20.93%</w:t>
      </w:r>
    </w:p>
    <w:p>
      <w:r>
        <w:t>In amount in thousands</w:t>
        <w:br/>
        <w:t>of euros</w:t>
        <w:br/>
        <w:t>Mobili-Pass Aid 75,043 87,757 69,071</w:t>
        <w:br/>
        <w:t>CIL-Pass Mobility 10,592 13,602 10,893</w:t>
        <w:br/>
        <w:t>Rate (*) 14.11% 15.50% 15.77%</w:t>
      </w:r>
    </w:p>
    <w:p>
      <w:r>
        <w:t>(*) The rates correspond to the proportion in number and in amount of services sold by the commercial subsidiaries of the CIL in relation to the number of Mobili-Pass aids granted and the total amount paid under this aid.</w:t>
      </w:r>
    </w:p>
    <w:p>
      <w:r>
        <w:t>C. THE DENOUNCED PRACTICES</w:t>
        <w:br/>
        <w:t>14. Executive Relocations states that Facilys, Cil-territoires, CSE Mobilité, and Eurocil offer services identical to its own, such as the CIL Pass Mobility service, under non-competitive conditions.</w:t>
        <w:br/>
        <w:t>15. It considers itself harmed by the organization of "1% housing" and its commercial practices. The platforms would benefit from their particular ties with the CIL, collecting organizations, in order to escape the pressure of competition from independent relocation companies. These ties would allow them to offer employees in mobility, in addition to housing from the private rental stock, social housing rentals at prices that it itself could not offer. The platforms would not comply with regulatory provisions by engaging in commercial activity. In particular, by offering the CIL Pass-Mobility, they would also disregard the mission entrusted to them by the ANPEEC.</w:t>
        <w:br/>
        <w:t>16. Executive Relocations also emphasizes that the UESL has not granted it approval. This situation would characterize the existence of a barrier to entry into the market that would ensure the supremacy of its competitors under "1% housing," benefiting from their privileged ties with the CIL.</w:t>
      </w:r>
    </w:p>
    <w:p>
      <w:r>
        <w:t>17. In this regard, the structures created at the initiative of the UESL would be in a dominant position in the market for support services for employees in professional mobility. Under these conditions, benefiting from communication actions from the CIL, being able to offer certain housing from the social rental stock, and financing the CIL Pass Mobility service offered to employees through cross-subsidies from "1% housing" would constitute an abuse that could be sanctioned on the basis of Article L. 420-2 of the Commercial Code.</w:t>
      </w:r>
    </w:p>
    <w:p>
      <w:r>
        <w:t>II. Discussion</w:t>
        <w:br/>
        <w:t>18. Article L. 462-8, paragraphs 1 and 2, of the Commercial Code states: "The Competition Council may (...) reject the referral by reasoned decision when it considers that the facts invoked are not supported by sufficiently probative elements."</w:t>
        <w:br/>
        <w:t>19. Article L. 410-1 of the Commercial Code provides: "The rules defined in this book apply to all activities of production, distribution, and services, including those carried out by public entities, particularly within the framework of public service delegation agreements." The Competition Council is thus competent to qualify, in light of Articles L. 420-1 and following of the Commercial Code, the behaviors relevant to the above activities, even if they are exercised within the framework of a public service. However, it cannot qualify under competition law acts reflecting the exercise of public power prerogatives.</w:t>
        <w:br/>
        <w:t>20. Section I of Article L. 420-4 adds: "The provisions of Articles L. 420-1 and L. 420-2 do not apply to practices (...) resulting from the application of a legislative text or a regulatory text taken for its application (...)."</w:t>
        <w:br/>
        <w:t>21. In this regard, the right, for certain organizations in the "1% housing" sphere, namely the commercial subsidiaries of the CIL, controlled by the ANPEEC, to engage in commercial activities arises from legislative and regulatory provisions, notably the decree mentioned in paragraph 10.</w:t>
        <w:br/>
        <w:t>22. The obligations of employers regarding participation in the construction effort are indeed provided for in Articles L. 313-1 and L. 313-4 of the Construction and Housing Code, Article R. 313-9 of the same code states that these obligations can take the form of payments to professional or interprofessional associations referred to under 2° a) of that article (the CIL) and Article R. 313-33-3 provides that said associations may subscribe to shares of commercial companies whose statutory provisions and specific control and financing modalities comply with the rules set by the statutes provided for in Article R. 313-35-5, the latter referring to standard statutory clauses set by decree. It is the decree of May 11, 1990, mentioned in paragraph 10, that was adopted for this purpose.</w:t>
        <w:br/>
        <w:t>23. The links existing between collecting organizations, the platforms, and the commercial companies result from the ability to engage in commercial activities under the conditions mentioned above.</w:t>
      </w:r>
    </w:p>
    <w:p>
      <w:r>
        <w:t>24. The fact that entities in the "1% housing" sphere engage in activities in competition with other operators cannot therefore be challenged before the Competition Council as such. However, the conditions of this intervention may be examined by it if elements show that they are likely to reveal anti-competitive behaviors.</w:t>
        <w:br/>
        <w:t>25. Regarding, first, the argument that the absence of approval granted to Executive Relocations constitutes a barrier to entry, it should be noted that assuming the interested party had requested such approval, which it acknowledges it has not done, a refusal decision would nevertheless have been made within the framework of the exercise of a public power prerogative of which the Council cannot be aware. Indeed, the assessment of the legality of the decisions by which individuals ensure the public service mission that falls to them through public power prerogatives falls, as stated above, under the jurisdiction of the administrative court as ruled by the Court of Conflicts in the judgment of October 18, 1999, Aéroport de Paris. Moreover, neither of the two approvals related to "1% housing" seems to concern a company like Executive Relocations. The first, necessary to collect on behalf of the State the "1% housing," can only be granted to CILs, chambers of commerce and industry, HLM organizations, and certain mixed-economy companies after proposal by the ANPEEC, by order of the minister responsible for housing. The second is intended for service platforms. This approval, granted by the UESL, corresponds in fact to the commitment of these GIE to respect a quality charter.</w:t>
        <w:br/>
        <w:t>26. Regarding, secondly, access to social rental housing, this is provided for by the Construction and Housing Code. Article R. 441-1 of the latter sets the income conditions for individuals who may benefit from a moderately priced rental housing. The allocation regime for social rental housing has been regulated by decree No. 99-836 of September 22, 1999, which establishes a "reservation" system for certain stakeholders. In this regard, Article R 441-5 of the Construction and Housing Code states that beneficiaries of housing reservations provided for in the second paragraph of Article L. 441-1 may be "the State, local authorities, their public establishments, public intercommunal cooperation establishments, employers, collectors of employers for the construction effort, chambers of commerce and industry, and non-profit organizations." The complaining company cannot therefore claim to benefit from these housing reservations given the regulations. The employee in mobility who uses its services may, however, if they meet the income conditions, request the allocation of a moderately priced rental housing. The situation thus also arises from legislative or regulatory provisions and not from practices prohibited by Articles L. 420-1 or L. 420-2 of the Commercial Code on which the Competition Council could rule.</w:t>
        <w:br/>
        <w:t>27. Executive Relocations considers, thirdly, that the structures created at the initiative of the UESL are in a dominant position in the market for support services for employees in professional mobility and that they abuse this position. In support of its thesis, the complaining company argues that the CIL refer employees to the commercial structures linked to them so that they purchase the paid mobility support service CIL Pass-mobility, while specifying that the Mobili-pass aid can finance this service.</w:t>
      </w:r>
    </w:p>
    <w:p>
      <w:r>
        <w:rPr>
          <w:b/>
        </w:rPr>
        <w:t>[Pages 7–8]</w:t>
      </w:r>
    </w:p>
    <w:p>
      <w:r>
        <w:t>28. Furthermore, the representatives of the referring party argued that: "the structures that collect the 1% housing benefit from a guaranteed resource [for] their management costs. The same structures hold, in accordance with the legislation, capital links with the collectors of the 1% housing, who themselves hold commercial structures that sell mobility assistance services. This legal and financial organization results in creating operating costs that are lower than the operating costs of a structure that would not have a guaranteed resource. Furthermore, certain commercial services of CIL during the collection of the 1% from companies subject to this tax would promote services provided by their subsidiary."</w:t>
      </w:r>
    </w:p>
    <w:p>
      <w:r>
        <w:t>29. On these aspects, in light of the rules concerning abuses of dominant position set forth in Article L. 420-2 of the Commercial Code, and assuming that the commercial subsidiaries of the CIL or the CIL themselves hold a dominant position in a market, the Council has repeatedly ruled on practices implemented by legal monopolies in the context of diversifying their activities. It has notably examined practices implemented by EDF and its subsidiary Citelum in decision No. 00-D-47 or by La Française des jeux and its maintenance subsidiary in decision No. 00-D-50. These cases led the Council to outline the limits within which the development of competitive activities by companies holding a legal monopoly and the material and financial support they provide to these activities are permissible under competition law. Assuming that the situation of the managing organizations of the "1% housing" could be likened to these monopolies, it can be emphasized, as in decision No. 00-D-47, that it is lawful for a company that holds a dominant position in a market by virtue of a legal monopoly to enter one or more markets in competitive sectors, provided that it does not abuse its dominant position to oust existing operators from the market or to restrict or attempt to restrict access to the market for new operators by resorting to means other than those that pertain to competition on merits. For example, using all or part of the surplus resources provided by its monopolistic activity to subsidize an offer presented in a competitive market may constitute an abuse when the subsidy is used to practice predatory pricing or when it has conditioned a practice that, while not predatory, has led to or is likely to lead to a lasting disruption of the market that would not have occurred without it. However, the mere fact of using resources from the monopolistic activity to finance a competitive activity is insufficient to characterize an abuse. Significant developments have been devoted to this issue in the annual report of the Competition Council for 2003, p. 79 and following.</w:t>
      </w:r>
    </w:p>
    <w:p>
      <w:r>
        <w:t>30. In this case, it first results from the examination of the collection and redistribution circuit of the aids granted under the "1% housing" that while the lack of neutrality of the CIL denounced by the referring party cannot be excluded, they must grant the aid intended to finance the costs related to the professional mobility of an employee in view of the expenses previously incurred by that employee. This aid can thus be granted to the employee to finance the services billed by a company like Executive Relocations and is not reserved for the reimbursement of the CIL-Pass-mobility service.</w:t>
      </w:r>
    </w:p>
    <w:p>
      <w:r>
        <w:t>31. Furthermore, the evolution of the distribution of Mobili-pass aids and the sale of CIL-Pass Mobility, as presented in paragraph 13, shows that the number of Mobili-Pass aids granted is approximately five times greater than the number of CIL Pass-mobility services and that the reimbursements for this service represent in amount approximately 16% of the payments made under this aid. Under these conditions, even if it also finances other expenses than those related to the services of "relocation" companies such as those of the referring party or the commercial subsidiaries of the CIL, it appears that the Mobili-pass aid is not "captured" by the CIL Pass-mobility services. Moreover, the referring party has not provided any evidence showing that employees who used its services had difficulties getting reimbursed for all or part of their costs with the Mobili-pass aid.</w:t>
      </w:r>
    </w:p>
    <w:p>
      <w:r>
        <w:t>32. Therefore, assuming that the commercial subsidiaries of the CIL or the CIL themselves are in a dominant position in a market, the mere absence of neutrality, generally alleged, of the CIL in favor of their commercial subsidiaries is not a sufficiently probative element to consider the existence of an abuse of these potential dominant positions, within the meaning of Article L. 420-2 of the Commercial Code. In this regard, no specific effect on the market has been identified by the referring party, whereas demonstrating the abusive nature of this practice would require identifying a lasting disruption of the market. Executive Relocations also acknowledged in the hearing that the prices of the CIL Pass-mobility service were not particularly low.</w:t>
      </w:r>
    </w:p>
    <w:p>
      <w:r>
        <w:t>33. Moreover, the Council notes that the complainant does not provide any evidence to demonstrate that among the fifty or so companies engaged in "relocation" activities, the position of the commercial subsidiaries of the CIL would be dominant, whereas the question of whether the CIL themselves, or other entities responsible for collecting contributions and redistributing social aids from the 1% housing, can be considered as providing a service activity in a market within the meaning of Article L. 410-1 of the Commercial Code is far from receiving a positive answer.</w:t>
      </w:r>
    </w:p>
    <w:p>
      <w:r>
        <w:t>34. It is therefore necessary to note that the company Executive Relocations does not provide sufficiently probative evidence regarding any prohibited anti-competitive practices. The referral must therefore be rejected.</w:t>
      </w:r>
    </w:p>
    <w:p>
      <w:r>
        <w:t>DECISION</w:t>
        <w:br/>
        <w:t>Single Article: The referral registered under number 06/0069 F is rejected.</w:t>
        <w:br/>
        <w:t>Deliberated on the oral report of Ms. Laporte, by Mr. Lasserre, president, Mr. Nasse, vice-president, Ms. Aubert and Ms. Perrot, vice-presidents.</w:t>
        <w:br/>
        <w:t>The session secretary, The president,</w:t>
        <w:br/>
        <w:t>Véronique Letrado Bruno Lasserre</w:t>
        <w:br/>
        <w:t>© Competition Council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