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https://www.autoritedelaconcurrence.fr/fr/decision/relative-une-saisine-de-la-societe-fimco</w:t>
      </w:r>
    </w:p>
    <w:p>
      <w:r>
        <w:t>Pages translated : 2</w:t>
      </w:r>
    </w:p>
    <w:p/>
    <w:p>
      <w:r>
        <w:rPr>
          <w:b/>
        </w:rPr>
        <w:t>[Pages 1–2]</w:t>
      </w:r>
    </w:p>
    <w:p>
      <w:r>
        <w:t>Decision No. 02-D-25 of March 28, 2002</w:t>
        <w:br/>
        <w:t>concerning a referral by the company Fimco</w:t>
        <w:br/>
        <w:t>The Competition Council (standing committee),</w:t>
        <w:br/>
        <w:t>Having regard to the letter registered on June 17, 1996, under number F 885, by which the company Fimco referred to the Competition Council practices implemented by the company Tulip International France;</w:t>
        <w:br/>
        <w:t>Having regard to Book IV of the Commercial Code relating to the freedom of prices and competition and Decree No. 86-1309 of December 29, 1986, as amended, setting the conditions for the application of Ordinance No. 86-1243 of December 1, 1986;</w:t>
        <w:br/>
        <w:t>Having regard to the observations presented by the Government Commissioner;</w:t>
        <w:br/>
        <w:t>Having regard to the other documents in the file;</w:t>
        <w:br/>
        <w:t>The rapporteur, the deputy general rapporteur, the Government Commissioner, heard during the session of January 23, 2002;</w:t>
        <w:br/>
        <w:t>Considering that the applicant, by letter dated June 17, 1996, referred to the Competition Council facts that appear to constitute an abuse of a dominant position by the company "Tulip International France";</w:t>
        <w:br/>
        <w:t>Considering that the last act of instruction in this file is the sending, on May 5, 1998, by the Directorate General for Competition, Consumer Affairs and Fraud Prevention, of the results of the investigations requested on November 13, 1996, by the initially designated rapporteur;</w:t>
        <w:br/>
        <w:t>Considering that Article L. 462-7 of the Commercial Code provides that: "The Council cannot be seized of facts dating back more than three years if no act has been made to seek, establish or sanction them";</w:t>
        <w:br/>
        <w:t>Considering that the judgment of March 9, 1999, which admitted the principle of the suspension of the statute of limitations concerning the referring company, which was unable to act in the ongoing procedure before the Council, was subject to double cassation for violation of the law, by a judgment dated July 17, 2001, pronounced under Article L. 462-7 of the Commercial Code, on the grounds that "by ruling thus, by adding to the aforementioned text a case of suspension of the statute of limitations that it does not provide for, the Court of Appeal violated it" and on the grounds "that by ruling thus, while the Competition Council, responsible for the protection of the economic public order, is not competent to repair the damage possibly suffered by the parties who refer it and who allege to be victims of anti-competitive practices and can refer civil and criminal jurisdictions for an action for compensation, annulment or cessation of the contested practices within the limitation periods applicable to these actions, (...), the Court of Appeal violated the aforementioned text.";</w:t>
        <w:br/>
        <w:t>Considering that in this case, a period of more than three years has elapsed since May 5, 1998, without the course of the statute of limitations having been interrupted by an act aimed at seeking, establishing or sanctioning the reported facts; that the statute of limitations being thus acquired as of May 5, 2001, it is appropriate to state that there is no need to continue the procedure;</w:t>
        <w:br/>
        <w:t>DECIDES</w:t>
        <w:br/>
        <w:t>Single Article - There is no need to continue the procedure.</w:t>
        <w:br/>
        <w:t>Deliberated, on the oral report of Ms. Toulemont-Dakouré, by Ms. Hagelsteen, President, Ms. Pasturel and Mr. Nasse, Vice-Presidents.</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