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https://www.autoritedelaconcurrence.fr/fr/decision/relative-une-saisine-de-la-societe-frappaz</w:t>
      </w:r>
    </w:p>
    <w:p>
      <w:r>
        <w:t>Pages translated : 2</w:t>
      </w:r>
    </w:p>
    <w:p/>
    <w:p>
      <w:r>
        <w:rPr>
          <w:b/>
        </w:rPr>
        <w:t>[Pages 1–2]</w:t>
      </w:r>
    </w:p>
    <w:p>
      <w:r>
        <w:t xml:space="preserve">FRENCH REPUBLIC  </w:t>
        <w:br/>
        <w:t xml:space="preserve">Decision No. 93-D-05 of April 27, 1993  </w:t>
        <w:br/>
        <w:t>concerning a referral by the company Frappaz</w:t>
      </w:r>
    </w:p>
    <w:p>
      <w:r>
        <w:t>The Competition Council (standing committee),</w:t>
      </w:r>
    </w:p>
    <w:p>
      <w:r>
        <w:t>Having regard to the letter registered on June 19, 1992, under number F.516, by which the company Frappaz referred to the Competition Council practices of the companies Enthone-Omi Inc. and Enthone-Omi France in the market for metal surface treatment applicators;</w:t>
      </w:r>
    </w:p>
    <w:p>
      <w:r>
        <w:t>Having regard to the Treaty of March 25, 1957, establishing the European Economic Community, and in particular Articles 85 and 86;</w:t>
      </w:r>
    </w:p>
    <w:p>
      <w:r>
        <w:t>Having regard to Ordinance No. 86-1243 of December 1, 1986, relating to the freedom of prices and competition, as amended, together with Decree No. 86-1309 of December 29, 1986, as amended, adopted for its application;</w:t>
      </w:r>
    </w:p>
    <w:p>
      <w:r>
        <w:t>Having regard to the documents in the file;</w:t>
      </w:r>
    </w:p>
    <w:p>
      <w:r>
        <w:t>The rapporteur, the general rapporteur, the Government Commissioner, and the representative of the company Frappaz heard;</w:t>
      </w:r>
    </w:p>
    <w:p>
      <w:r>
        <w:t>Considering that the company Frappaz, which operates in the fields of electrolysis equipment and chemical products for metal surface treatment intended for the market of surface treatment applicators, referred to the Competition Council practices implemented by the companies Enthone-Omi Inc. and Enthone-Omi France, which it considers anti-competitive;</w:t>
      </w:r>
    </w:p>
    <w:p>
      <w:r>
        <w:t>Considering that it results from the documents in the file that the company Frappaz-Industrie, resulting from the merger in 1981 of the companies Frappaz-Matériel and Frappaz-Chimie, signed on June 20, 1983, a memorandum of understanding with the company Finima, under which it was agreed between these two companies that the latter, holder of a license granted by the company Enthone-Omi Inc., would grant the company Frappaz, as of October 1, 1983, a sub-license of the Enthone know-how; that in December 1990 the company Finima notified the company Frappaz of its decision to terminate this sub-license agreement as of June 30, 1991; that, to replace this agreement, the company Enthone-Omi Inc. concluded a new non-exclusive license agreement in June 1991 with the company Frappaz and, at the same time, concluded a non-exclusive license agreement with the company Enthone-Omi France;</w:t>
      </w:r>
    </w:p>
    <w:p>
      <w:r>
        <w:t>Considering that, according to the company Frappaz, the alleged practices consisting of an abusive use of its customer references, acts of disparagement of its products, and attempts to poach its qualified personnel would constitute violations of both Articles 7 and 8 of the Ordinance of December 1, 1986 and Articles 85 and 86 of the Treaty establishing the European Economic Community; that it also argues that, by imposing a voluntarily high annual fee, the prohibition of using beyond the term of the contract concluded with the companies Enthone-Omi Inc. and Enthone-Omi France of an 'unidentified know-how' and by practicing a 'policy of deliberately weakened prices on their part', the said companies would be striving to eliminate it from the market on which they compete;</w:t>
      </w:r>
    </w:p>
    <w:p>
      <w:r>
        <w:t>Considering that under Article 19 of the aforementioned Ordinance of December 1, 1986, 'the Competition Council may declare the referral inadmissible if it considers that the facts invoked do not fall within its jurisdiction or are not supported by sufficiently probative elements';</w:t>
      </w:r>
    </w:p>
    <w:p>
      <w:r>
        <w:t>Considering that the practices of unfair competition invoked by the company Frappaz, if they may engage the liability of their authors before the civil or commercial judge, fall under the examination of the Competition Council only if they are linked to a concerted action of an anti-competitive nature or to the abusive exploitation of a dominant position or a state of economic dependence;</w:t>
      </w:r>
    </w:p>
    <w:p>
      <w:r>
        <w:t>Considering that the company Frappaz provides no evidence to establish that the practices of which it claims to be a victim would result from an agreement within the meaning of Article 7 of the aforementioned Ordinance of December 1, 1986 aimed at or capable of distorting competition in the market; that the file also does not contain any element establishing the existence either of a dominant position of one of the companies involved in the French market or in the European market, or of a state of economic dependence in which the company Frappaz would find itself in relation to them;</w:t>
      </w:r>
    </w:p>
    <w:p>
      <w:r>
        <w:t>Considering that it follows from the above that, both on the basis of the Ordinance of December 1, 1986 and on that of Articles 85 and 86 of the Treaty establishing the European Economic Community, the referral made by the company Frappaz is inadmissible,</w:t>
      </w:r>
    </w:p>
    <w:p>
      <w:r>
        <w:t xml:space="preserve">Decides:  </w:t>
        <w:br/>
        <w:t>Sole Article. - The referral registered under No. F.516 is declared inadmissible.</w:t>
      </w:r>
    </w:p>
    <w:p>
      <w:r>
        <w:t>Adopted on the oral report of Ms. Marion Ces, by Messrs. Barbeau, president, Jenny, vice-president, and Sargos, member, designated in place of Mr. Béteille.</w:t>
      </w:r>
    </w:p>
    <w:p>
      <w: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