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https://www.autoritedelaconcurrence.fr/fr/decision/relative-une-saisine-de-la-societe-glem</w:t>
      </w:r>
    </w:p>
    <w:p>
      <w:r>
        <w:t>Pages translated : 5</w:t>
      </w:r>
    </w:p>
    <w:p/>
    <w:p>
      <w:r>
        <w:rPr>
          <w:b/>
        </w:rPr>
        <w:t>[Pages 1–3]</w:t>
      </w:r>
    </w:p>
    <w:p>
      <w:r>
        <w:t xml:space="preserve">RÉPUBLIQUE FRANÇAISE  </w:t>
        <w:br/>
        <w:t xml:space="preserve">Decision No. 03-D-18 of April 10, 2003  </w:t>
        <w:br/>
        <w:t xml:space="preserve">regarding a referral from the company GLEM  </w:t>
        <w:br/>
        <w:t xml:space="preserve">The Competition Council, (permanent commission),  </w:t>
        <w:br/>
        <w:t xml:space="preserve">Having regard to the letter registered on June 11, 1996, under number F 880, by which the company GLEM referred the Competition Council regarding practices implemented by the National Audiovisual Institute (INA);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Government Commissioner;  </w:t>
        <w:br/>
        <w:t xml:space="preserve">Having regard to the other documents in the file;  </w:t>
        <w:br/>
        <w:t xml:space="preserve">The reporting member, the general reporter, and the Government Commissioner heard during the session of January 22, 2003; the representatives of the company GLEM and the National Audiovisual Institute (INA) having been duly summoned;  </w:t>
        <w:br/>
        <w:t xml:space="preserve">Adopts the following decision:  </w:t>
        <w:br/>
        <w:t xml:space="preserve">I. – Findings  </w:t>
        <w:br/>
        <w:t xml:space="preserve">1. The company GLEM is an audiovisual production company that achieved a turnover of 28.4 million euros (186 million francs) in 1995, during which it produced programs composed of excerpts from the ORTF archives and news images.  </w:t>
        <w:br/>
        <w:t xml:space="preserve">2. The company GLEM argues that INA, a public industrial and commercial establishment, possesses by its very corporate purpose a monopoly situation in the market for the commercialization of French television images and accuses it of abusing this position by charging excessively high broadcasting rights for the documents it holds, particularly by using the indivisible minute method on the one hand, and by including in the prices the research and documentation fees for all excerpts on the other hand.  </w:t>
        <w:br/>
        <w:t xml:space="preserve">3. INA is a public establishment of an industrial and commercial nature which, in application of legislative and regulatory texts (laws No. 74-696 of August 7, 1974, No. 82-652 of July 29, 1982, No. 86-1067 of September 30, 1986, decree of November 13, 1987 and law No. 2000-719 of August 1, 2000), is charged with several missions:  </w:t>
        <w:br/>
        <w:t xml:space="preserve">a) "to preserve and exploit the audiovisual archives of national program companies." It becomes the owner of the audiovisual archives of national program companies other than those constituted for works of fiction, at the end of a period of 3 years after their first broadcast.  </w:t>
        <w:br/>
        <w:t xml:space="preserve">b) to manage the legal deposit, established by law No. 92-546 of June 20, 1992, and mandatory for all publishers, producers, and broadcasters of audiovisual and sound documents of all types. Decree No. 93-1429 of December 3, 1993, as amended, specifies the conditions for implementing this mission.  </w:t>
        <w:br/>
        <w:t xml:space="preserve">c) to ensure or have ensured the continuing education of personnel in the audiovisual sector and contribute to initial training and higher education, on the one hand; to ensure or have ensured research on audiovisual production, creation, and communication and to produce audiovisual works and documents in connection with its research activities and the exploitation of audiovisual archives, on the other hand.  </w:t>
        <w:br/>
        <w:t xml:space="preserve">4. INA operates in the audiovisual production market either by transferring exploitation rights on programs from its archive fund or as a co-producer, that is to say, by bringing, on a new program, the rights to programs from its fund and technical services whose amounts, borne by INA, will constitute the producer's share of this new program.  </w:t>
        <w:br/>
        <w:t xml:space="preserve">5. The practices complained of in this case relate to the first category of INA's activities and concern the modalities of commercialization of audiovisual archives.  </w:t>
        <w:br/>
        <w:t xml:space="preserve">6. INA holds, in application of legislative and regulatory texts, a monopoly on the archives of national production companies which include, on the one hand, for the period prior to the privatization of TF1, all television archives other than works of fiction, and, on the other hand, for the period following this privatization, all audiovisual archives of France 2, France 3, Radio France, RFI, and RFO. In contrast, the statutes of La Cinquième and Arte do not mention any relationship with INA. The public establishment is therefore the only operator likely to commercialize the audiovisual archives listed above.  </w:t>
        <w:br/>
        <w:t xml:space="preserve">7. Other players in the field of reusing audiovisual images include Pathé archives and Gaumont cinémathèque, and, on a smaller scale, ECPA (cinematographic service of the army), Images banque (a subsidiary of the American group Getty), Film image, Arketon (specialized in Eastern European archives), and Lobster. The two main companies, Pathé archives and Gaumont cinémathèque, only operate in the field of newsreels and silent fiction films.  </w:t>
        <w:br/>
        <w:t xml:space="preserve">8. Thus, an audiovisual production company cannot indiscriminately call upon the products of INA and those of Pathé archives or Gaumont cinémathèque which, being derived from different documentary funds, are generally not substitutable.  </w:t>
        <w:br/>
        <w:t xml:space="preserve">9. It should be noted that, according to Article 49 of the law of September 30, 1986, INA "may also enter into agreements with any legal entity under public or private law for the preservation and exploitation of its audiovisual archives."  </w:t>
        <w:br/>
        <w:t xml:space="preserve">10. This activity, which no longer falls under the archives of national program companies, may concern products substitutable for those of other players in this sector. A study conducted by INA in 1994 noted that broadcasters, clients of INA, tended to transform into competitors by equipping themselves with the means to manage or commercialize their own funds and more specifically recent images. However, this sector of activity still seems to be, for INA, ancillary to that of archiving and exploiting the archives of national program companies.  </w:t>
        <w:br/>
        <w:t xml:space="preserve">11. The relevant market is therefore that of the commercialization of the archives of national program companies, over which INA holds a monopoly. The relevant geographical market is essentially the national market, given the nature of the products in question which primarily interest a national demand.  </w:t>
        <w:br/>
        <w:t xml:space="preserve">II. - The reasons  </w:t>
        <w:br/>
        <w:t xml:space="preserve">On the jurisdiction of the Competition Council  </w:t>
        <w:br/>
        <w:t xml:space="preserve">12. Article L. 410-10 of the Commercial Code stipulates that "the rules defined in this book apply to all production, distribution, and service activities, including those carried out by public entities."  </w:t>
        <w:br/>
        <w:t xml:space="preserve">13. The missions of archiving, as well as those of legal deposit, correspond to a public service activity, but the transfer of broadcasting rights of the audiovisual fund, the sole object of the dispute, falls under the commercial activity of INA and does not involve any prerogative of public power. Consequently, the Competition Council is competent to examine the practices of INA referred to in the referral.  </w:t>
        <w:br/>
        <w:t xml:space="preserve">On the abuse of dominant position  </w:t>
        <w:br/>
        <w:t xml:space="preserve">14. The company GLEM accuses INA of the conditions of billing its clients for the broadcasting rights of archived audiovisual documents and denounces, on the one hand, that this billing is done at the indivisible minute even if the duration of the excerpt broadcast is less than that, and on the other hand, the inclusion in this billing of research and documentation fees even if the excerpt is already identified. INA is thus accused of practicing abusively high prices.  </w:t>
        <w:br/>
        <w:t xml:space="preserve">15. In its decision No. 00-D-27 of June 13, 2000, regarding the selling price of products marketed by the cafeteria of the Osny prison, the Competition Council indicated that "while, in general, the abuses of dominant position condemned by the Council consist for the company concerned in preventing competitors from entering the market or hindering the activity of those already there, the Competition Council may, under certain circumstances, ensure, based on Article 8 (now Article L. 420-2 of the Commercial Code), that the prices charged by a company in a dominant position and notably by a monopoly, are not manifestly excessive; this is particularly the case when a company holds a monopoly that no other company is likely to contest and that the government has not set prices based on Article 1 of the aforementioned ordinance (Article L. 410-2 of the Commercial Code)";  </w:t>
        <w:br/>
        <w:t xml:space="preserve">16. It is accepted by case law that a price may constitute an abuse of dominant position if it is "exaggerated in relation to the economic value of the service provided," (Court of Justice of the European Communities, November 13, 1975, General Motors).  </w:t>
        <w:br/>
        <w:t>17. To establish this manifestly exaggerated nature, two methods of analysis have been developed by the Court of Justice and taken up by the Council in its aforementioned decision. The first consists of making a comparison with equivalent market situations and the second to compare the selling price of the product in question to its cost price and to assess "whether there is a disproportion</w:t>
      </w:r>
    </w:p>
    <w:p>
      <w:r>
        <w:rPr>
          <w:b/>
        </w:rPr>
        <w:t>[Pages 4–5]</w:t>
      </w:r>
    </w:p>
    <w:p>
      <w:r>
        <w:t>excessive between the cost actually incurred and the price actually claimed", (Court of Justice of the European Communities: February 14, 1978 - United Brands Co.).</w:t>
      </w:r>
    </w:p>
    <w:p>
      <w:r>
        <w:t>18. The first method of comparison with market prices cannot be applied in this case, since the companies Pathé archives and Gaumont cinémathèque only market their own products in terms of newsreels and silent fiction films (Gaumont) which constitute a historically fixed stock, whereas, as noted by the Court of Auditors in its 2000 report covering the period 1991-1998, the activity of transferring audiovisual rights by INA is linked to its general mission of preserving the audiovisual archives of national program companies and relies on constant work of identification, maintenance, safeguarding, and restoration of the funds that none of its national competitors have to ensure. Furthermore, the nature of the funds is also distinct, with INA holding exploitation rights not only on an archive fund that it has on deposit but also on programs that it produces, the management of which is more complex and incurs higher rights.</w:t>
      </w:r>
    </w:p>
    <w:p>
      <w:r>
        <w:t>19. The use of the second method, the only one possible in this case, therefore consists of determining whether INA is charging a disproportionate price compared to the costs it incurs.</w:t>
      </w:r>
    </w:p>
    <w:p>
      <w:r>
        <w:t>20. The Court of Auditors as well as the General Directorate for Competition, Consumer Affairs, and Fraud Control, in its investigation, note the very high costs of INA's technical services, including documentary research and the provision of excerpts. These costs are explained by the size of INA's archive fund, its age, the heterogeneity of the media, and the specificity of the content. Thus, in 1994, the year corresponding to the period of the facts incriminated by the company GLEM, the total operating expenses exceeded INA's turnover excluding taxes by more than 15%, and only the collection of part of the fee for the right of use of television receivers allowed INA to balance its activities.</w:t>
      </w:r>
    </w:p>
    <w:p>
      <w:r>
        <w:t>21. The prices of the services billed by INA, although they are higher than those charged by Gaumont cinémathèque or Pathé archives, due to the aforementioned constraints, do not allow for the full coverage of costs.</w:t>
      </w:r>
    </w:p>
    <w:p>
      <w:r>
        <w:t>22. The public establishment and its supervising ministry, subsequent to the referral, conducted a reflection to more clearly distinguish INA's mission of preserving audiovisual heritage from the commercial activity of exploiting rights related to its archives and to improve the readability of cost structures. They thus adopted a new pricing policy on July 1, 2000, which distinguishes between "ready-to-use" excerpts and "custom-selected" excerpts. While it cannot therefore be excluded that INA could still better identify its costs in order to reduce them through productivity efforts, it remains that no element in the file supports the assertion that its commercial rates are characterized by a manifest disproportion compared to the costs actually incurred.</w:t>
      </w:r>
    </w:p>
    <w:p>
      <w:r>
        <w:t>23. Thus, it must be noted that no element revealed by the investigation supports the claim that INA abused its dominant position by charging prices that are manifestly excessive in relation to the economic value of the service provided. Under these conditions, it is appropriate to apply the provisions of Article L. 464-6 of the Commercial Code.</w:t>
      </w:r>
    </w:p>
    <w:p>
      <w:r>
        <w:t>DECISION</w:t>
        <w:br/>
        <w:t>Single Article. - There is no need to continue the proceedings.</w:t>
      </w:r>
    </w:p>
    <w:p>
      <w:r>
        <w:t>Deliberated on the oral report of Ms. Servella-Huertas, by Ms. Hagelsteen, president, Mr. Nasse, vice-president, and Mr. Robin, member, replacing Ms. Pasturel, vice-president prevented.</w:t>
        <w:br/>
        <w:t>For 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