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https://www.autoritedelaconcurrence.fr/fr/decision/relative-une-saisine-de-la-societe-holopanoragramme</w:t>
      </w:r>
    </w:p>
    <w:p>
      <w:r>
        <w:t>Pages translated : 2</w:t>
      </w:r>
    </w:p>
    <w:p/>
    <w:p>
      <w:r>
        <w:rPr>
          <w:b/>
        </w:rPr>
        <w:t>[Pages 1–2]</w:t>
      </w:r>
    </w:p>
    <w:p>
      <w:r>
        <w:t xml:space="preserve">FRENCH REPUBLIC  </w:t>
        <w:br/>
        <w:t xml:space="preserve">Decision No. 03-D-25 of May 28, 2003  </w:t>
        <w:br/>
        <w:t xml:space="preserve">concerning a referral by the company Holopanoragramme  </w:t>
        <w:br/>
        <w:t xml:space="preserve">The Competition Council (standing committee),  </w:t>
        <w:br/>
        <w:t xml:space="preserve">Having regard to the letter registered on April 2, 2002, under number 02/0043 F, by which the company Holopanoragramme referred to the Competition Council practices implemented by the public establishment Aéroports de Paris;  </w:t>
        <w:br/>
        <w:t xml:space="preserve">Having regard to Book IV of the Commercial Code, relating to the freedom of prices and competition, Decree No. 86-1309 of December 29, 1986, as amended, adopted for the application of Ordinance No. 86-1243 of December 1, 1986, as well as Decree No. 2002-689 of April 30, 2002, setting the conditions for the application of Book IV of the Commercial Code;  </w:t>
        <w:br/>
        <w:t xml:space="preserve">Having regard to the documents in the file;  </w:t>
        <w:br/>
        <w:t xml:space="preserve">The rapporteur, the deputy general rapporteur, the commissioner of the Government, and the representative of the company Holopanoragramme heard during the session of April 30, 2003;  </w:t>
        <w:br/>
        <w:t xml:space="preserve">Adopts the following decision:  </w:t>
        <w:br/>
        <w:t xml:space="preserve">1- The company Holopanoragramme aims to commercially exploit a patented optical instrument consisting of a four-dimensional real-image urban holopanoragram projector. It states that it proposed this new advertising medium for the visual communication of advertisers to the public establishment Aéroports de Paris and that it was responded to by inviting it either to propose its invention to the company benefiting from the advertising activity exploitation agreement so that it could integrate this new mode of advertising with those already exploited by it, or to participate in the upcoming call for tenders aimed at selecting a concessionaire responsible for exploiting these activities at Orly and Charles de Gaulle airports.  </w:t>
        <w:br/>
        <w:t xml:space="preserve">2- The referring company argues that the refusal by Aéroports de Paris to take into account an innovation by invoking the existence of a convention with the beneficiary of the exploitation of the public domain in terms of advertising constitutes a barrier to market access or technical progress within the meaning of Article L. 420-1 of Book IV of the Commercial Code.  </w:t>
        <w:br/>
        <w:t xml:space="preserve">3- During the session, it stated that "a public domain authorization that does not allow, on a case-by-case basis, the concurrent exercise of the right conferred by a patent and which reserves the equivalent of a priority of exploitation of any present and future invention to its concessionaire, represents (...) the compelling evidence of an agreement between the public body and its concessionaire, which limits technical progress and market access (...)".  </w:t>
        <w:br/>
        <w:t xml:space="preserve">4- Pursuant to the first paragraph of Article L. 462-8 of the Commercial Code, "the Competition Council may declare, by reasoned decision, the referral inadmissible (...) if it considers that the facts invoked do not fall within the scope of its competence."  </w:t>
        <w:br/>
        <w:t xml:space="preserve">5- By a ruling of October 18, 1999, Aéroports de Paris, the Conflict Tribunal held that "while public entities may be sanctioned by the Competition Council, acting under the control of the judicial authority, for activities of production, distribution, or services, the decisions by which these entities carry out the public service mission incumbent upon them using public power prerogatives fall within the jurisdiction of the administrative court to assess their legality and, where appropriate, to rule on the liability incurred by these public entities," that the decisions of Aéroports de Paris "related to the management of the public domain constitute the exercise of public power prerogatives" and that consequently, the practices of Aéroports de Paris, which are inseparable from it, fall solely within the competence of the administrative court;  </w:t>
        <w:br/>
        <w:t xml:space="preserve">6- In its ruling of November 19, 2002, Au Lys de France, the Court of Cassation held that: "... the ruling, which finds that the termination by a public establishment of a public domain occupation agreement (...) as well as the refusal of a concession request constitute decisions by which a public entity ensures the management mission of the public domain entrusted to it, using public power prerogatives, and which finds that the criticized conditions for setting the level of temporary occupation fees of the public domain are inseparable from the management of this domain, ruled correctly;".  </w:t>
        <w:br/>
        <w:t xml:space="preserve">7- The agreements by which the public establishment Aéroports de Paris grants temporary operating authorizations for various modes of advertising on the public domain constitute decisions related to the management of the public domain; therefore, the practices invoked, which are related to the fulfillment of a public service mission through the implementation of public power prerogatives, fall solely within the competence of the administrative court.  </w:t>
        <w:br/>
        <w:t xml:space="preserve">8- It is therefore necessary to note that the facts invoked do not fall within the scope of the competence of the Competition Council and to apply the provisions of Article L. 462-8 of the Commercial Code;  </w:t>
        <w:br/>
        <w:t xml:space="preserve">DECISION  </w:t>
        <w:br/>
        <w:t xml:space="preserve">Single Article – The referral registered under number 02/0043 F is declared inadmissible.  </w:t>
        <w:br/>
        <w:t xml:space="preserve">Deliberated on the oral report of Mr. Deparis by Ms. Hagelsteen, president, Ms. Pasturel, vice-president, and Mr. Nasse, vice-president.  </w:t>
        <w:br/>
        <w:t xml:space="preserve">The session secretary, The president,  </w:t>
        <w:br/>
        <w:t xml:space="preserve">Christine Charron Marie-Dominique Hagelsteen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