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https://www.autoritedelaconcurrence.fr/fr/decision/relative-une-saisine-de-la-societe-le-california</w:t>
      </w:r>
    </w:p>
    <w:p>
      <w:r>
        <w:t>Pages translated : 4</w:t>
      </w:r>
    </w:p>
    <w:p/>
    <w:p>
      <w:r>
        <w:rPr>
          <w:b/>
        </w:rPr>
        <w:t>[Pages 1–3]</w:t>
      </w:r>
    </w:p>
    <w:p>
      <w:r>
        <w:t xml:space="preserve">COMPETITION COUNCIL  </w:t>
        <w:br/>
        <w:t xml:space="preserve">Decision No. 01-D-26 of May 9, 2001  </w:t>
        <w:br/>
        <w:t xml:space="preserve">regarding a referral from the company "Le California"  </w:t>
        <w:br/>
        <w:t xml:space="preserve">The Competition Council (permanent commission),  </w:t>
        <w:br/>
        <w:t xml:space="preserve">Having regard to the letter registered on October 2, 2000, under number F 1265, by which the company "Le California" referred to the Competition Council practices implemented by SACEM (Société des auteurs, compositeurs et éditeurs de musique);  </w:t>
        <w:br/>
        <w:t xml:space="preserve">Having regard to Book IV of the Commercial Code and Decree No. 86-1309 of December 29, 1986, as amended, taken for the application of Ordinance No. 86-1243 of December 1, 1986;  </w:t>
        <w:br/>
        <w:t xml:space="preserve">Having regard to the Intellectual Property Code;  </w:t>
        <w:br/>
        <w:t xml:space="preserve">Having regard to the other documents in the file;  </w:t>
        <w:br/>
        <w:t xml:space="preserve">The rapporteur, the general rapporteur, and the Government commissioner heard during the session of January 17, 2001, the company "Le California" having been duly summoned;  </w:t>
        <w:br/>
        <w:t xml:space="preserve">Considering that the Intellectual Property Code provides in Article L. 111-1 that the author of a work of the mind enjoys, by the mere fact of its creation, an exclusive and enforceable incorporeal property right over this work against all; that musical compositions with or without lyrics are notably considered as works of the mind; that the right to exploit these works includes the right of representation (communication of the work to the public) and the right of reproduction (material fixation of the work); that these rights are transferable for free or for a fee;  </w:t>
        <w:br/>
        <w:t xml:space="preserve">Considering that the Intellectual Property Code further provides that the collection and distribution of authors' remuneration can be carried out by civil societies representing the beneficiaries; that authors, composers, and music publishers may, for the exploitation of their economic rights, join SACEM, the only professional organization managing the rights of music authors, whose role and organization are provided for in the Intellectual Property Code (Book II, Title II);  </w:t>
        <w:br/>
        <w:t xml:space="preserve">Considering that SACEM intervenes by authorizing, through agreements, the public dissemination of protected works and collecting, in return, copyright fees from users of its repertoire; that for this purpose, it collects from broadcasters, event organizers, and producers of phonograms or videograms the programs of the works broadcast or reproduced; that finally, it distributes the sums paid among the rights holders;  </w:t>
        <w:br/>
        <w:t xml:space="preserve">Considering that the agreements signed with users of the repertoire vary according to the importance of music in their activity and that the conditions are identical by categories of users; that SACEM concludes, in particular, with dance, concert, and performance venues where it is customary to consume, a general representation contract defined by Article L. 132-18 of the Intellectual Property Code as "the contract by which a professional authors' organization grants a show entrepreneur the right to represent, during the duration of the show, the current or future works constituting the repertoire of said organization under the conditions determined by the author or their rights holders";  </w:t>
        <w:br/>
        <w:t xml:space="preserve">Considering that the amount and the methods of collecting the copyright fee collected by SACEM are determined based on the type of exploitation and the importance of the role of the use of music in the activity; that, in its decision of April 5, 1984, the Competition Commission stated: "SACEM cannot be blamed for having hindered the normal functioning of the market by defining the basis for the royalty";  </w:t>
        <w:br/>
        <w:t xml:space="preserve">Considering that, pursuant to Article L. 131-4 of the Intellectual Property Code, SACEM collects a percentage of the revenue from exploitation when music is essential for the operation of the establishment; that the fee is assessed flat-rate when music is not essential, in application of the provisions of the aforementioned Article L. 131-4, relating to the possible derogation rule of proportionality; that SACEM takes into account, in the representation contracts signed by nightclubs, the mixed nature of the establishment; that to benefit from this classification, the distribution of activities must be established and certified;  </w:t>
        <w:br/>
        <w:t xml:space="preserve">Considering that the modalities of SACEM's intervention are set out in framework agreements negotiated with representative organizations of the various categories of use; that the rates applied on gross revenues, after deduction of the related VAT and revenues generated from cloakroom services, differ depending on whether the operator is, or is not, unionized and whether they provide, or not, to SACEM a certain number of accounting documents;  </w:t>
        <w:br/>
        <w:t xml:space="preserve">Considering that SACEM is the only organization in France managing the copyright of musical works and equipped with the necessary means to collect these rights throughout the territory and to distribute them among the rights holders; that it benefits from a de facto monopoly that the Competition Commission had already qualified in its decisions of February 23, 1983, and April 5, 1984, and that the Competition Council reaffirmed in its decision No. 00-D-40 of September 20, 2000: "SACEM is the only existing organization in France to manage musical copyright and is equipped with the necessary means, both for their collection on the territory and for their distribution among the rights holders; SACEM holds a dominant position and even a de facto monopoly in the French market for the exploitation of copyright, composers, and music publishers"; that, as a result, SACEM holds a dominant position in the market considered;  </w:t>
        <w:br/>
        <w:t xml:space="preserve">Considering that, by letter of October 2, 2000, the Council was seized of the following practices: SACEM would be abusing its dominant position in the market for the collection and distribution of copyright by imposing "leonine" membership contracts on its co-contractors, particularly on the establishment "Le California," by not taking into account the mixed nature of this establishment and thereby imposing a fee payment on the entire turnover of the business, whereas two rooms are not soundproofed,  </w:t>
        <w:br/>
        <w:t xml:space="preserve">by improperly applying the royalty rate of 5.55% instead of 4.39%, by resorting to discriminatory practices distinguishing between establishments adhering to a professional organization and others, and by refusing to consider the membership of this establishment in a union;  </w:t>
        <w:br/>
        <w:t xml:space="preserve">Considering that the Competition Council, pursuant to Article L. 462-8 of Book IV of the Commercial Code, may declare the referral inadmissible if it deems that the facts are not supported by sufficiently probative elements;  </w:t>
        <w:br/>
        <w:t xml:space="preserve">Considering, firstly, regarding the "leonine" nature of the general representation contract, that the referring company submits to the file the contract, renewed annually, which it signed on April 1, 1995, with SACEM, without providing elements that would allow one to think that an anti-competitive behavior of SACEM would have compelled it to conclude this contract, nor arguments supporting its general allegation; according to which the clauses of the contract would in themselves be likely to distort or restrict the play of competition;  </w:t>
        <w:br/>
        <w:t xml:space="preserve">Considering, secondly, that the referring company provides no evidence to support its assertion that SACEM, in view of clearly detailed and certified accounting documents, would have refused to take into account the mixed nature of the establishment; that the referring company does not transmit, in fact, either accounting documents allowing to demonstrate the mixed nature of the establishment, nor exchanges of correspondence with SACEM; that moreover, even if the fact were established, an error made in classifying an establishment in the category of nightclubs could not be qualified as an anti-competitive practice by itself, but only in the case where an anti-competitive object or effect would be established; that the referring company alleges neither anti-competitive object nor effect and provides no sufficiently probative elements allowing one to think, for example, that it would have suffered discrimination that also harms the free play of competition;  </w:t>
        <w:br/>
        <w:t xml:space="preserve">Considering, thirdly, that the operator annexes to its referral an unsigned copy, dated April 1, 1999, of the standard general representation contract mentioning, regarding the situation of the contractor: "operator who has not opted for the submission of accounting documents" and "operator not a member of a representative professional organization of dance and performance establishments where it is customary to consume, signatory of a protocol agreement with SACEM"; that the referring company contests this second qualification;  </w:t>
        <w:br/>
        <w:t>But considering, on the one hand, that the submission of accounting documents allows SACEM to better understand the revenues of nightclubs on which the royalties are based and to guard against the risk of fraud; that the reduction of rates thus has a real and objective counterpart and cannot be qualified as discrimination, since all establishments can choose this option; that this commitment is made in writing at the time of signing the general representation contract; that, as the Council recalled in its decision No. 00-D-40 of September 20, 2000: "the rate reductions granted to professional unions are in return for real advantages, linked to the prevention of fraud risks and to a self-control of the regularity of payments; that a ruling of the Court of Cassation of April 16, 1985, holds that such a method is likely to promote better management of copyright and is in accordance with the interest of the authors themselves and that of the users to whom a reduction in rates is thus offered"; that the professional or union action aimed at promoting the proper execution of the agreements concluded and that</w:t>
      </w:r>
    </w:p>
    <w:p>
      <w:r>
        <w:rPr>
          <w:b/>
        </w:rPr>
        <w:t>[Pages 4–4]</w:t>
      </w:r>
    </w:p>
    <w:p>
      <w:r>
        <w:t xml:space="preserve">provides SACEM with a management economy of contracts, resulting in a reduction of management and control costs and a better guarantee of payment of the amounts due to it for the use of its repertoire, constitutes a real counterpart to the advantage in terms of rate reduction granted to members of a professional organization who are signatories to an agreement; thus, this advantage is not discriminatory; that in any case, the referring company does not contest the legality of this advantage; Considering, on the other hand, that the referring company, while contesting the status of non-member of a union attributed to it, does not provide elements leading to believe that SACEM would have refused to take into account the establishment's membership in a professional organization that is a signatory to the protocol agreement; that moreover, the fact, assuming it is established, that SACEM did not take such membership into account would fall under a dispute between two co-contractors and would not, in itself, be prohibited by Book IV of the Commercial Code, unless alleging and establishing an anti-competitive object or effect; Considering that, the referring company not providing any elements capable of characterizing the existence of anti-competitive practices, it is appropriate to apply Article L. 462-8 of the Commercial Code and declare the referral inadmissible,  </w:t>
        <w:br/>
        <w:t xml:space="preserve">Decides:  </w:t>
        <w:br/>
        <w:t xml:space="preserve">Sole Article.- The referral registered under number F 1265 is declared inadmissible.  </w:t>
        <w:br/>
        <w:t xml:space="preserve">Deliberated, on the oral report of Ms. Toulemont, by Mr. Jenny, Vice-President, presiding over the session,  </w:t>
        <w:br/>
        <w:t xml:space="preserve">Mr. Cortesse, Vice-President, and Ms. Pasturel, Vice-President.  </w:t>
        <w:br/>
        <w:t xml:space="preserve">The Secretary of the session, The Vice-President,  </w:t>
        <w:br/>
        <w:t xml:space="preserve">presiding over the session,  </w:t>
        <w:br/>
        <w:t xml:space="preserve">Patricia Perrin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