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https://www.autoritedelaconcurrence.fr/fr/decision/relative-une-saisine-de-la-societe-le-casino-du-lac-de-la-magdeleine</w:t>
      </w:r>
    </w:p>
    <w:p>
      <w:r>
        <w:t>Pages translated : 7</w:t>
      </w:r>
    </w:p>
    <w:p/>
    <w:p>
      <w:r>
        <w:rPr>
          <w:b/>
        </w:rPr>
        <w:t>[Pages 1–3]</w:t>
      </w:r>
    </w:p>
    <w:p>
      <w:r>
        <w:t xml:space="preserve">FRENCH REPUBLIC  </w:t>
        <w:br/>
        <w:t xml:space="preserve">Decision No. 05-D-20 of May 13, 2005  </w:t>
        <w:br/>
        <w:t>regarding a referral from the company le casino du Lac de la Magdeleine</w:t>
      </w:r>
    </w:p>
    <w:p>
      <w:r>
        <w:t xml:space="preserve">The Competition Council (Section I),  </w:t>
        <w:br/>
        <w:t xml:space="preserve">Having regard to the letter registered on February 28, 2005, under numbers 05/0012 F and 05/0013 M, by which the company le casino du Lac de la Magdeleine referred to the Competition Council practices implemented by the Accor casinos groups (now the Lucien Barrière group) and Partouche in the market for the operation of games of chance;  </w:t>
        <w:br/>
        <w:t xml:space="preserve">Having regard to Articles 81 and 82 of the Treaty establishing the European Community;  </w:t>
        <w:br/>
        <w:t xml:space="preserve">Having regard to Book IV of the Commercial Code relating to price freedom and competition and Decree 2002-689 of April 30, 2002, setting the conditions for its application;  </w:t>
        <w:br/>
        <w:t xml:space="preserve">Having regard to the observations presented by the Accor casinos groups (now the Lucien Barrière group) and Partouche and by the Government Commissioner;  </w:t>
        <w:br/>
        <w:t xml:space="preserve">Having regard to the other documents in the file;  </w:t>
        <w:br/>
        <w:t xml:space="preserve">The rapporteur, the general rapporteur, the Government Commissioner, and the representatives of the Accor casinos groups (now the Lucien Barrière group), Partouche, and the Casino du Lac de la Magdeleine, heard during the session of April 20, 2005;  </w:t>
        <w:br/>
        <w:t xml:space="preserve">The representatives of the Minister of the Interior, Internal Security, and Local Freedoms being heard under Article L. 463-7 of the Commercial Code;  </w:t>
        <w:br/>
        <w:t>Adopts the following decision:</w:t>
      </w:r>
    </w:p>
    <w:p>
      <w:r>
        <w:t xml:space="preserve">I. Findings  </w:t>
        <w:br/>
        <w:t xml:space="preserve">A. THE LEGISLATIVE AND REGULATORY CONTEXT  </w:t>
        <w:br/>
        <w:t xml:space="preserve">1. Invented in Venice in the 17th century, casinos that appeared in France in the 18th century were successively prohibited by the Penal Code of 1804, then by the law of July 18, 1836, prohibiting gambling in public places, and finally by the law of July 12, 1983, which penalizes non-compliance with the prohibition. They are, however, tolerated (except in French islands or colonies), and even authorized under the Directory, then regulated by a decree of 1806 which nevertheless limits their establishment to thermal and seaside resorts, a decree whose legality will later be contested by the Council of State (Commune of Neris les Bains-April 18, 1902).  </w:t>
        <w:br/>
        <w:t xml:space="preserve">2. The law of June 15, 1907, maintains the principle of prohibition and penalizes it, but allows exceptions permitting cities or resorts classified as seaside, thermal, or climatic (currently numbering 260) to open casinos, while law no. 88-13 of January 5, 1988 (Chaban-Delmas amendment) extends this exception to cities located in agglomerations of more than 500,000 inhabitants, provided they have a dramatic stage, a national orchestra, or an opera. However, a law of 1920 prohibits the opening of a casino within 100 km of Paris, except for the casino in the town of Enghien-les-Bains, classified as a thermal resort. Finally, in 1987, decree no. 87-604 of August 26, 1987, authorizes slot machines, but only inside casinos.  </w:t>
        <w:br/>
        <w:t xml:space="preserve">3. In municipalities authorized to host a casino, the establishment of the casino is subject to a public service delegation agreement between the municipality and the operator based on a precise specifications document and following a tender procedure initiated by the municipality. This procedure must comply with the provisions of law no. 93-122 of January 29, 1993, known as the Sapin law, in accordance with the opinion of the Council of State of April 4, 1995, which specifies that the specifications document has the nature of a public service concession and, thereby, is an administrative contract.  </w:t>
        <w:br/>
        <w:t xml:space="preserve">4. After being selected, the delegatee must obtain an operating authorization for games issued by the Minister of the Interior after advisory opinion from the Superior Games Commission (CSJ), created by decree of November 6, 1934, and whose current status dates from 1975. It is the Directorate of Public Freedoms of the Ministry of the Interior that prepares the files. These files include the opinion of the municipal council of the municipality, the prefect, and especially the in-depth investigation by the general intelligence services. The opinion of the CSJ is primarily based on compliance with the required establishment criteria: seaside, thermal, or climatic resort. Secondly, local competition elements, the economic interests of the region, and public morality are taken into account. Since this is not a binding opinion, it is not necessarily followed by the minister who is not obliged to publish it. It is the minister who makes the decision and informs the operator of this decision through the prefect.  </w:t>
        <w:br/>
        <w:t xml:space="preserve">5. In the case of an authorization decision, it takes the form of an order that sets the number of slot machines and table games (roulette, blackjack, American roulette, English roulette, stud poker, boule, etc.) that the casino may operate. The authorization cannot exceed a period of 5 years and may be limited to one year. Furthermore, any authorization is accompanied by monitoring and control measures.  </w:t>
        <w:br/>
        <w:t xml:space="preserve">6. During the first year of operation, casino operators are subject to a probationary period during which they cannot operate slot machines. Beyond this first year, any request for an extension of the number of machines is also subject to the approval of the minister.  </w:t>
        <w:br/>
        <w:t>7. Finally, the state and municipal levies on the gross gaming revenue are provided for by Article 15 of the decree of December 22, 1959.</w:t>
      </w:r>
    </w:p>
    <w:p>
      <w:r>
        <w:t xml:space="preserve">B. THE COMPANIES AND GROUPS OF COMPANIES CONCERNED  </w:t>
        <w:br/>
        <w:t xml:space="preserve">1. THE SEIZING COMPANY: THE COMPANY "LE CASINO DU LAC DE LA MAGDELEINE"  </w:t>
        <w:br/>
        <w:t xml:space="preserve">8. This is a 100% subsidiary of the company SCALE, which is itself a subsidiary of the holding company SOCODEM. The latter company is a simplified joint-stock company primarily active in the real estate sector. SCALE, for its part, specializes in leisure centers and casinos. The turnover of SOCODEM was €2.6 million in 2004. In January 2002, this company won the tender launched in January 2001 by the municipality of Gujan-Mestras (department of Gironde) to build a casino in the town, but was unable to obtain the ministerial authorization to operate games in this casino. This company also operates another casino in Lacaune (department of Tarn) since 2003.  </w:t>
        <w:br/>
        <w:t xml:space="preserve">2. THE ACCOR CASINOS GROUP BECOMING THE LUCIEN BARRIÈRE GROUP  </w:t>
        <w:br/>
        <w:t xml:space="preserve">9. The Accor casinos group is a 50% subsidiary of the Accor group, primarily active in the hotel sector. The other shareholder is the American company Colony. In 2004, the Accor casinos group decided to create a joint company with the Barrière-Desseigne family, under the name "Lucien Barrière group." Following the operation, the Lucien Barrière group became the largest French owner of slot machines, with 4,941 machines, out of a total of 18,274 machines, or 27% of the total, ahead of the Partouche group, which owns 4,635. However, the Lucien Barrière group has only 33 casinos, or 17% of the total, while the Partouche group owns 47 establishments, or 24% of the total (192 casinos spread across French territory).  </w:t>
        <w:br/>
        <w:t xml:space="preserve">10. In 2003, the gross gaming revenue (PBJ) of the casinos of the Lucien Barrière group can be estimated at €777 million (€338 million for Accor and €433 million for Barrière). This places the group in first position and represents a share of the national market of 31%, since the total PBJ amounted to €2.5 billion in France in 2003 and €2.6 billion in 2004.  </w:t>
        <w:br/>
        <w:t xml:space="preserve">3. THE PARTOUCHE GROUP  </w:t>
        <w:br/>
        <w:t xml:space="preserve">11. The PBJ for the year 2003 for the casinos of the Partouche group amounted to €694 million, corresponding to a market share of 27%, placing this group in second position. The group had, in 2004, results up 24.1% compared to 2003.  </w:t>
        <w:br/>
        <w:t xml:space="preserve">C. THE RELEVANT MARKET  </w:t>
        <w:br/>
        <w:t>12. The relevant market is that of the gambling market in casinos. This market is distinguished by an upstream market, that of obtaining public service delegations following calls for tenders, and a downstream market, which corresponds to the operation of casinos once the authorization is acquired. The latter have experienced a spectacular growth in turnover since the authorization of slot machines. The PBJ, which stagnated from 1981 to 1986, has since multiplied nearly twentyfold, rising from €109 million to €2 billion in 2000. The development of slot machines has gradually changed the structure of the</w:t>
      </w:r>
    </w:p>
    <w:p>
      <w:r>
        <w:rPr>
          <w:b/>
        </w:rPr>
        <w:t>[Pages 4–6]</w:t>
      </w:r>
    </w:p>
    <w:p>
      <w:r>
        <w:t>PBJ: in 1987, table games represented 91.6% of the total, and in 2000, only 8.9%.</w:t>
      </w:r>
    </w:p>
    <w:p>
      <w:r>
        <w:t>13. The referral concerns the establishment of a casino in Gujan-Mestras. The complainant considers that the relevant geographic market includes the department of Gironde and part of the department of Landes, where 6 casinos would be located, respectively in Bordeaux, Lacanau, Andernos les Bains, Arcachon, Biscarosse, and Mimizan.</w:t>
      </w:r>
    </w:p>
    <w:p>
      <w:r>
        <w:t>D. THE PRACTICES DENOUNCED</w:t>
      </w:r>
    </w:p>
    <w:p>
      <w:r>
        <w:t>14. The complainant company denounces anti-competitive practices that would be attributable to the Accor-Casinos group (now Lucien Barrière) and Partouche. It first alleges that the Accor-Casinos company would be in a dominant position in the relevant local market. Then, it argues that this company would hold, together with the Partouche group, a dominant position in the upstream national market for casino operating delegations.</w:t>
      </w:r>
    </w:p>
    <w:p>
      <w:r>
        <w:t>15. The complainant challenges the minister's decision to refuse to grant an authorization for game operation in the casino of Gujan-Mestras. This decision would have been influenced by a note from the Syndicat des Casinos Modernes, an offshoot of the Partouche group.</w:t>
      </w:r>
    </w:p>
    <w:p>
      <w:r>
        <w:t>16. It also considers that this note is anti-competitive, as it aims to limit the establishment of casinos belonging to competing groups.</w:t>
      </w:r>
    </w:p>
    <w:p>
      <w:r>
        <w:t>E. THE REQUEST FOR CONSERVATORY MEASURES</w:t>
      </w:r>
    </w:p>
    <w:p>
      <w:r>
        <w:t>17. In addition to its main referral, the company Le Casino du Lac de la Magdeleine requests the Council, based on Article L. 464-1 of the Commercial Code, to issue the following conservatory measure: "to be provided with the minutes of the meeting held on October 5, 2004, before the Superior Commission of Games."</w:t>
      </w:r>
    </w:p>
    <w:p>
      <w:r>
        <w:t>II. Discussion</w:t>
      </w:r>
    </w:p>
    <w:p>
      <w:r>
        <w:t>A. ON THE MARKET</w:t>
      </w:r>
    </w:p>
    <w:p>
      <w:r>
        <w:t>18. According to decision "Française des Jeux" no. 00-D-50 of March 5, 2001, the market for casino gambling is not substitutable for games organized by Française des Jeux (lottery), nor for betting on horse races.</w:t>
      </w:r>
    </w:p>
    <w:p>
      <w:r>
        <w:t>19. Furthermore, the decisions of the European Commission of June 6, 2004, regarding the creation of a joint venture between the Accor group and the Barrière group specify that, in the market for casino gambling, it is necessary to distinguish between an upstream market corresponding to obtaining public service delegations following calls for tenders and a downstream market for the operation of casinos.</w:t>
      </w:r>
    </w:p>
    <w:p>
      <w:r>
        <w:t>20. According to the aforementioned community decisions, the criterion for the geographical definition of the market is that of a catchment area corresponding to one hour of travel by car: the market for the operation of games in casinos has a local dimension.</w:t>
      </w:r>
    </w:p>
    <w:p>
      <w:r>
        <w:t>21. In this case, the criteria retained in the aforementioned decisions would lead to delineating a catchment area around the casino of Lac de Magdeleine located in Gujan-Mestras, and to retaining, in this area, potential competition with six casinos, located respectively in Arcachon, Andernos-les-Bains, Lacanau, Bordeaux, Biscarosse, and Mimizan, as the complainant has done.</w:t>
      </w:r>
    </w:p>
    <w:p>
      <w:r>
        <w:t>22. However, the question arises as to whether there is truly competition other than spatial between the casinos, knowing that each casino generally offers the same services (except for very large casinos where the player profile is different), and that it is often in a monopoly position in a sector due to regulations that severely limit the establishment of casinos.</w:t>
      </w:r>
    </w:p>
    <w:p>
      <w:r>
        <w:t>B. ON THE PRACTICES</w:t>
      </w:r>
    </w:p>
    <w:p>
      <w:r>
        <w:t>1. ON THE MINISTER'S REFUSAL TO GRANT THE REQUESTED AUTHORIZATION</w:t>
      </w:r>
    </w:p>
    <w:p>
      <w:r>
        <w:t>23. The complainant challenges the minister's decision, which refused to grant the authorization to operate games for the casino of Gujan-Mestras, built by the complainant.</w:t>
      </w:r>
    </w:p>
    <w:p>
      <w:r>
        <w:t>24. However, the qualification of the minister's decision, in light of competition law, does not fall within the competence of the Competition Council, in accordance with Article L. 410-1 of the Commercial Code, which specifies that the Council can only examine practices concerning "production, distribution, and service activities (...)". The minister's decision does not fall into the categories of activities mentioned above: the assessment of its legality, possibly in light of competition law, falls solely within the jurisdiction of administrative courts (Council of State decision of November 3, 1997, Million and Marais).</w:t>
      </w:r>
    </w:p>
    <w:p>
      <w:r>
        <w:t>25. The order dated April 14, 2005, from the interim judge of the administrative court of Bordeaux suspending the execution of the minister's decision, further confirms the competence of the administrative judge to examine the decision contested by the complainant.</w:t>
      </w:r>
    </w:p>
    <w:p>
      <w:r>
        <w:t>2. ON THE QUALIFICATION OF THE NOTE FROM THE SYNDICAT DES CASINOS MODERNES</w:t>
      </w:r>
    </w:p>
    <w:p>
      <w:r>
        <w:t>26. Firstly, the complainant argues that the Syndicat des Casinos Modernes is an association of businesses. The agreement would be characterized by the sending of a note jointly signed by the members of the association in order to influence the minister to block the entry of the complainant. It preemptively refutes the argument that this note aimed to provide an opinion on the bill proposed by Deputy Dominique Paillé, since this bill has not been examined by Parliament. According to the complainant, this note had no other purpose than to influence the minister's decision regarding the specific case of the casino of Gujan-Mestras, a decision that was negative, which would demonstrate its anti-competitive effect.</w:t>
      </w:r>
    </w:p>
    <w:p>
      <w:r>
        <w:t>27. However, it is not effectively contested that the document was drafted in the context of the debate opened following the submission of the bill by Deputy Dominique Paillé regarding the regulation of games. This approach is therefore part of a public debate in which socio-professional groups express their views to defend the interests of their members. This practice, even if it leads a professional union to defend a position that is not the promotion of stronger competition, cannot be qualified in itself as anti-competitive.</w:t>
      </w:r>
    </w:p>
    <w:p>
      <w:r>
        <w:t>28. It follows from these elements that no qualification can be retained in light of Article L. 420-1 of the Commercial Code.</w:t>
      </w:r>
    </w:p>
    <w:p>
      <w:r>
        <w:t>29. Secondly, the complainant argues that the note constitutes an abuse of dominant position by the Accor Casinos and Partouche groups, which are in a collective dominant position in the market in question.</w:t>
      </w:r>
    </w:p>
    <w:p>
      <w:r>
        <w:t>30. Given the above, that is to say, the absence of anti-competitive object of this note, and without the need to examine whether a collective, national, or local dominant position can be established, no qualification can be retained in light of Article L. 420-2 of the Commercial Code.</w:t>
      </w:r>
    </w:p>
    <w:p>
      <w:r>
        <w:t>3. CONCLUSION</w:t>
      </w:r>
    </w:p>
    <w:p>
      <w:r>
        <w:t>31. Article L. 462-8 of the Commercial Code states that "the Competition Council may declare, by reasoned decision, the referral inadmissible for lack of interest or standing to act of the author thereof or if the facts are time-barred within the meaning of Article L. 462-7 or if it considers that the alleged facts do not fall within its jurisdiction. It may also reject the referral by reasoned decision when it considers that the alleged facts are not supported by sufficiently probative elements."</w:t>
      </w:r>
    </w:p>
    <w:p>
      <w:r>
        <w:t>32. The assessment of the legality of the minister's refusal decision does not fall within the jurisdiction of the Council, it is therefore appropriate to declare the referral inadmissible on this point. No probative element having been produced in support of the allegation of an agreement or an abuse of dominant position by the various casino operating companies involved, it is appropriate to reject the referral for the remainder.</w:t>
      </w:r>
    </w:p>
    <w:p>
      <w:r>
        <w:t>33. Article 42 of the decree of April 30, 2002, specifies that "the request for conservatory measures mentioned in Article L. 464-1 of the Commercial Code can only be made incidentally to a main referral to the Competition Council. It may be presented at any time during the procedure and must be reasoned." A request for conservatory measures can therefore only be examined to the extent that the main referral is admissible.</w:t>
      </w:r>
    </w:p>
    <w:p>
      <w:r>
        <w:t>34. Consequently, the request for conservatory measures is rejected.</w:t>
      </w:r>
    </w:p>
    <w:p>
      <w:r>
        <w:t>DECISION</w:t>
      </w:r>
    </w:p>
    <w:p>
      <w:r>
        <w:t>Article 1 - The referral registered under number 05/0012F is declared inadmissible in that it seeks to assess the legality of the minister of the interior's decision refusing to authorize the operation of games in Gujan-Mestras, and rejected for the remainder.</w:t>
      </w:r>
    </w:p>
    <w:p>
      <w:r>
        <w:rPr>
          <w:b/>
        </w:rPr>
        <w:t>[Pages 7–7]</w:t>
      </w:r>
    </w:p>
    <w:p>
      <w:r>
        <w:t>Article 2 - The request for interim measures registered under number 05/0013M is rejected.</w:t>
      </w:r>
    </w:p>
    <w:p>
      <w:r>
        <w:t>Deliberated on the oral report of Ms. Wibaux, by Mr. Nasse, vice-president, presiding over the session, Mr. Piot and Mr. Bidaud, members.</w:t>
      </w:r>
    </w:p>
    <w:p>
      <w:r>
        <w:t xml:space="preserve">The secretary of the session The vice-president  </w:t>
        <w:br/>
        <w:t xml:space="preserve">Rita Sougoumarane Philippe Nasse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