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https://www.autoritedelaconcurrence.fr/fr/decision/relative-une-saisine-de-la-societe-legend-california</w:t>
      </w:r>
    </w:p>
    <w:p>
      <w:r>
        <w:t>Pages translated : 2</w:t>
      </w:r>
    </w:p>
    <w:p/>
    <w:p>
      <w:r>
        <w:rPr>
          <w:b/>
        </w:rPr>
        <w:t>[Pages 1–2]</w:t>
      </w:r>
    </w:p>
    <w:p>
      <w:r>
        <w:t xml:space="preserve">COUNCIL OF COMPETITION  </w:t>
        <w:br/>
        <w:t xml:space="preserve">Decision No. 01-D-18 of May 2, 2001  </w:t>
        <w:br/>
        <w:t xml:space="preserve">regarding a referral by the company "The Legend of California"  </w:t>
        <w:br/>
        <w:t xml:space="preserve">The Council of Competition (standing committee),  </w:t>
        <w:br/>
        <w:t xml:space="preserve">Having regard to the letter registered on August 2, 1994, under number F 692, by which the company "The Legend of California" referred to the Council of Competition practices implemented by SPRE (Civil Society for Equitable Remuneration);  </w:t>
        <w:br/>
        <w:t xml:space="preserve">Having regard to Book IV of the Commercial Code and Decree No. 86-1309 of December 29, 1986, as amended, adopted for the application of Ordinance No. 86-1243 of December 1, 1986;  </w:t>
        <w:br/>
        <w:t xml:space="preserve">Having regard to the Intellectual Property Code;  </w:t>
        <w:br/>
        <w:t xml:space="preserve">Having regard to the observations presented by the company "The Legend of California";  </w:t>
        <w:br/>
        <w:t xml:space="preserve">Having regard to the other documents in the file;  </w:t>
        <w:br/>
        <w:t xml:space="preserve">The rapporteur, the general rapporteur, the Government Commissioner heard during the session of March 13, 2001;  </w:t>
        <w:br/>
        <w:t xml:space="preserve">Without the need to rule on the application of the limitation rules  </w:t>
        <w:br/>
        <w:t xml:space="preserve">Considering that under Article L. 462-8 of the Commercial Code: "The Council of Competition may declare, by reasoned decision, the referral inadmissible if it considers that the facts invoked do not fall within its jurisdiction or are not supported by sufficiently probative elements";  </w:t>
        <w:br/>
        <w:t xml:space="preserve">Considering that the applicant argues that SPRE, whose purpose is to collect and manage the rights to equitable remuneration owed to performing artists and producers of phonograms in the context of the public dissemination of phonograms published for commercial purposes, or "neighboring rights," abuses its dominant position in the market for the collection of rights from, in particular, nightclubs and leisure venues, on the one hand, by applying a royalty rate deemed too high, and on the other hand, by continuing to apply beyond five years the scale set by a decision dated September 9, 1987;  </w:t>
        <w:br/>
        <w:t xml:space="preserve">Considering that Article L. 214-5 of the Intellectual Property Code provides that "Equitable remuneration is collected on behalf of the rights holders and distributed among them by one or more organizations mentioned in Title II of Book III";  </w:t>
        <w:br/>
        <w:t xml:space="preserve">Considering that SPRE is the only organization for the collection and distribution of equitable remuneration rights for performing artists and producers of phonograms in France and therefore benefits from a de facto monopoly in the French market for the collection of neighboring rights from nightclubs; that no evidence has, however, been produced to suggest that the dominant position held by SPRE in the national territory would prevent other companies from being established, exercising the same activity, or asserting rights as representatives;  </w:t>
        <w:br/>
        <w:t xml:space="preserve">Considering, on the argument regarding the deemed too high level of royalty rate setting, that the remuneration scale and the terms of payment of the remuneration are, in accordance with the provisions of Article L. 214-3 of the Intellectual Property Code, established following specific agreements for each sector of activity between the representative organizations of performing artists, producers of phonograms, and users of phonograms, and, in the absence of an agreement, determined by the administrative commission provided for in Article L. 214-4 of the same code; that, in this latter case, SPRE merely applies a regulatory decision made under legislative provisions without intervening in its elaboration; that the Council of Competition is not competent to rule on the legality of such decisions;  </w:t>
        <w:br/>
        <w:t xml:space="preserve">Considering that the referring party also contests the application beyond five years of the decision made, in the absence of specific agreements, by the administrative commission dated September 9, 1987, setting the base and applicable rate;  </w:t>
        <w:br/>
        <w:t xml:space="preserve">Considering that the provisions of Article L. 214-3 of the Intellectual Property Code, which provide for a duration of one to five years for agreements, do not set the duration of application of the scale established by the administrative commission; but considering that it does not fall to the Council of Competition to rule on the interpretation of Article L. 214-3, mentioned above, nor on the scope of the decision of the administrative commission, which constitutes a regulatory act; that the Court of Appeal of Paris, in a judgment of April 2, 1996, stated that "the dispute is actually related to the interpretation of the regulatory scope of the decision that sets the scale without limitation of duration in light of the provisions of Article L. 214-3 of the Intellectual Property Code limiting the duration of collective agreements to five years; that this litigation falls outside the jurisdiction of both the Council of Competition and the Court of Appeal of Paris ruling on appeals against its decisions";  </w:t>
        <w:br/>
        <w:t xml:space="preserve">Considering that it follows from the above that it is necessary to apply the provisions of Article L. 462-8 of the Commercial Code, mentioned above, by declaring the referral inadmissible due to the incompetence of the Council of Competition,  </w:t>
        <w:br/>
        <w:t xml:space="preserve">Decides:  </w:t>
        <w:br/>
        <w:t xml:space="preserve">Sole Article.- The referral registered under number F 692 is declared inadmissible.  </w:t>
        <w:br/>
        <w:t xml:space="preserve">Deliberated, on the oral report of Ms. Toulemont, by Ms. Hageslteen, president, Ms. Pasturel and Mr. Jenny, vice-presidents.  </w:t>
        <w:br/>
        <w:t xml:space="preserve">The session secretary, The president,  </w:t>
        <w:br/>
        <w:t xml:space="preserve">Véronique Jourquin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