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https://www.autoritedelaconcurrence.fr/fr/decision/relative-une-saisine-de-la-societe-les-oliviers</w:t>
      </w:r>
    </w:p>
    <w:p>
      <w:r>
        <w:t>Pages translated : 2</w:t>
      </w:r>
    </w:p>
    <w:p/>
    <w:p>
      <w:r>
        <w:rPr>
          <w:b/>
        </w:rPr>
        <w:t>[Pages 1–2]</w:t>
      </w:r>
    </w:p>
    <w:p>
      <w:r>
        <w:t>Decision No. 02-D-04 of February 1, 2002</w:t>
        <w:br/>
        <w:t>concerning a referral by the company Les Oliviers</w:t>
        <w:br/>
        <w:t>The Competition Council (standing committee),</w:t>
        <w:br/>
        <w:t>Having regard to the letter registered on February 22, 2201, under numbers A 330 and F 1335, by which the company Les Oliviers referred to the Council practices implemented by the Société anonyme immobilière de Saint-Etienne (SAIEM), the Centre communal d’action sociale (CCAS), and the municipality of Saint-Etienne;</w:t>
        <w:br/>
        <w:t>Having regard to Book IV of the Commercial Code relating to the freedom of prices and competition and Decree No. 86-1309 of December 29, 1986, as amended, setting the conditions for the application of Ordinance No. 86-1243 of December 1, 1986;</w:t>
        <w:br/>
        <w:t>Having regard to the other documents in the file;</w:t>
        <w:br/>
        <w:t>The rapporteur, the deputy general rapporteur, the Government Commissioner, and the company Les Oliviers heard during the session of October 23, 2001;</w:t>
        <w:br/>
        <w:t>Considering that the company Les Oliviers, which operates a housing facility for elderly persons, has referred to the Competition Council various anti-competitive practices implemented by the Société anonyme immobilière mixte de la ville de Saint-Etienne (SAIEM), the Comité d’action sociale de la Ville de Saint-Etienne (CCAS), as well as by the municipality of Saint-Etienne;</w:t>
        <w:br/>
        <w:t>Considering that the referring company argues, firstly, that operating its activity in a building owned by SAIEM of which it is a tenant, it finds itself in a situation of economic dependence on this latter company; that, following a protocol agreement dated October 7, 1996, the annual rent, set at 1,858,462 F TTC (283,320.7 €) by the initial lease, was increased by an amount of 800,000 F TTC (121,959.21 €) corresponding to the tenant's assumption of part of the necessary compliance works, said amount payable in several annual installments of 47,000 F HT (7,165.1 €); that its state of dependence is demonstrated by the comparison between its turnover which amounted, for the year 1996, to 8,463,132 F (1,290,196.1 €) and the amounts it must pay in rent; that an expertise attached to the file assesses the objective annual rent amount at 900,000 F (137,204 €); that thus, the lessor abuses the economic dependence situation in which the company Les Oliviers finds itself in relation to it; that it adds that it cannot, in the short term, consider moving to other premises due to the constraints imposed by the nature of its activity;</w:t>
        <w:br/>
        <w:t>Considering that the referring party invokes, secondly, the abuse of dominant position that would result from the operation by the CCAS of Saint-Etienne of fifteen establishments of the same type as that of the company Les Oliviers and the manifest concentration of economic power in the hands of this organization;</w:t>
        <w:br/>
        <w:t>Considering that the referring party denounces, thirdly, the existence of an agreement between the CCAS, SAIEM, and the city of Saint-Etienne aimed at reducing competition in the market for housing for elderly or dependent persons in this city; that it argues, in this regard, on the one hand, that the municipality of Saint-Etienne subsidizes the CCAS which offers services comparable to its own, allowing the CCAS to propose very attractive prices and, on the other hand, that the headquarters of SAIEM is located at the Town Hall and that the board of directors of this company is chaired by the third deputy mayor;</w:t>
        <w:br/>
        <w:t>Considering that the referring company finally argues that the CCAS practices abnormally low housing prices, which would be demonstrated by the fact that its rates are significantly lower than those practiced by the company Les Oliviers, which are a faithful reflection of what prices should be in a non-subsidized market;</w:t>
        <w:br/>
        <w:t>Considering that the referral has been registered under two numbers A 330 and F 1335; that reference A 330, which corresponds to a request for an opinion while the referral is contentious in nature, is erroneous; that it is therefore appropriate to decide that file A 330 is closed; that the reference of the contentious referral file is F 1335;</w:t>
        <w:br/>
        <w:t>Considering that, at this stage, the Council does not have sufficient analytical elements to rule on this file; that under these conditions, it is necessary to defer ruling in order to proceed with additional investigation;</w:t>
        <w:br/>
        <w:t>DECIDES</w:t>
        <w:br/>
        <w:t>Article 1 - The file registered under number A 330 is closed.</w:t>
        <w:br/>
        <w:t>Article 2 - Ruling on the referral F 1335 is deferred.</w:t>
        <w:br/>
        <w:t>Deliberated, on the oral report of Ms. Chaulet-Philippe, by Ms. Hagelsteen, president, Mr. Jenny, vice-president, and Ms. Pasturel, vice-president.</w:t>
        <w:br/>
        <w:t>The session secretary, The president,</w:t>
        <w:br/>
        <w:t>Françoise Hazäel Massieux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