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https://www.autoritedelaconcurrence.fr/fr/decision/relative-une-saisine-de-la-societe-regal-pat-contre-la-societe-electricite-de-strasbourg</w:t>
      </w:r>
    </w:p>
    <w:p>
      <w:r>
        <w:t>Pages translated : 4</w:t>
      </w:r>
    </w:p>
    <w:p/>
    <w:p>
      <w:r>
        <w:rPr>
          <w:b/>
        </w:rPr>
        <w:t>[Pages 1–3]</w:t>
      </w:r>
    </w:p>
    <w:p>
      <w:r>
        <w:t xml:space="preserve">FRENCH REPUBLIC  </w:t>
        <w:br/>
        <w:t xml:space="preserve">Decision No. 05-D-15 of April 13, 2005  </w:t>
        <w:br/>
        <w:t xml:space="preserve">regarding a referral from the company Regal Pat against the company  </w:t>
        <w:br/>
        <w:t>Electricité de Strasbourg</w:t>
      </w:r>
    </w:p>
    <w:p>
      <w:r>
        <w:t xml:space="preserve">The Competition Council (permanent commission),  </w:t>
        <w:br/>
        <w:t xml:space="preserve">Having regard to the letter registered on April 24, 2002, under number 02/0055F, by which Mr. Patrice X… referred to the Competition Council practices implemented by the company Electricité de Strasbourg;  </w:t>
        <w:br/>
        <w:t xml:space="preserve">Having regard to Articles 81 and 82 of the Treaty establishing the European Community;  </w:t>
        <w:br/>
        <w:t xml:space="preserve">Having regard to Book IV of the Commercial Code relating to price freedom and competition and Decree 2002-689 of April 30, 2002, setting the conditions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during the session of March 23, 2005, the company Regal Pat having been duly summoned;  </w:t>
        <w:br/>
        <w:t>Adopts the following decision:</w:t>
      </w:r>
    </w:p>
    <w:p>
      <w:r>
        <w:t xml:space="preserve">I. Findings  </w:t>
        <w:br/>
        <w:t xml:space="preserve">1. The company Regal Pat is a limited liability company (SARL) whose purpose is the operation of amusement rides. Its registered office is located at 18 grand rue HERBASCH 67130 Wisches.  </w:t>
        <w:br/>
        <w:t xml:space="preserve">2. The company Electricité de Strasbourg (ES) is a non-nationalized distributor, a subsidiary of EDF, which supplies electricity to consumers in the Bas-Rhin department. It benefits from a monopoly in this department under the law of April 8, 1946.  </w:t>
        <w:br/>
        <w:t>3. In the Bas-Rhin department, after the entry into force of the law of February 10, 2000, which grants other producers the right to sell their electricity to eligible consumers (industrials), Electricité de Strasbourg remained the only distributor for individuals and small businesses. For this category of customers, Electricité de Strasbourg is therefore in a dominant position in the electricity distribution market in the Bas-Rhin department.</w:t>
      </w:r>
    </w:p>
    <w:p>
      <w:r>
        <w:t xml:space="preserve">4. The company Regal Pat first asserts that Electricité de Strasbourg allegedly, from July 1, 2001, and in an inconsiderate manner, increased the "temporary connection" rates for the supply of electricity needed to operate its rides, in the communes of Bas-Rhin where the complainant stations during fairs. This increase in connection rates to the network would constitute an abuse of dominant position by the company Electricité de Strasbourg in the electricity distribution market, an abuse prohibited by Article L. 420-2 of the Commercial Code.  </w:t>
        <w:br/>
        <w:t>5. The applicant further contends that Electricité de Strasbourg would improperly charge for the rental of the measuring device, along with the supply of electricity, even though it would have noted the absence of these devices during certain fairs. The billing for the measurement service would also constitute an abuse of dominant position by the company Electricité de Strasbourg in the electricity distribution market, an abuse also prohibited by Article L. 420-2 of the Commercial Code.</w:t>
      </w:r>
    </w:p>
    <w:p>
      <w:r>
        <w:t xml:space="preserve">II. Discussion  </w:t>
        <w:br/>
        <w:t xml:space="preserve">6. Article L. 462-8, paragraph 2 of the Commercial Code states that "the Competition Council may also reject the referral by reasoned decision when it considers that the alleged facts are not supported by sufficiently probative elements."  </w:t>
        <w:br/>
        <w:t xml:space="preserve">A. ON THE ABUSE CONSTITUTED BY THE INCREASE IN CONNECTION RATES  </w:t>
        <w:br/>
        <w:t xml:space="preserve">7. It follows from legislative and regulatory provisions that Electricité de Strasbourg was, at the time of the facts, the only distributor authorized to supply electricity to non-eligible customers, among which is the company Regal Pat, and that thus Electricité de Strasbourg was in a monopoly situation.  </w:t>
        <w:br/>
        <w:t xml:space="preserve">8. The Competition Council can, under certain circumstances and particularly if the practice is likely to have an anti-competitive object or effect, ensure, on the basis of Article L. 420-2 of the Commercial Code, that the prices charged by a company in a dominant position, and notably by a monopoly, are not, by their excessive nature, constitutive of an abuse.  </w:t>
        <w:br/>
        <w:t>9. According to the case law of the Council (decisions No. 00-D-27 of June 13, 2000, Prison d’Osny, and No. 03-D-18 of April 10, 2003, company GLEM against the National Audiovisual Institute), a practice of abusively high prices can be established if there is a manifest disproportion between this price and the value of the corresponding service, and that this disproportion is not supported by any economic justification (on these points, see also, ECJ General Motors November 13, 1975 and ECJ November 11, 1986 British Leyland). If it is not possible to establish this disproportion by examining costs, case law allows for a comparison with prices charged by companies in equivalent situations.</w:t>
      </w:r>
    </w:p>
    <w:p>
      <w:r>
        <w:t xml:space="preserve">10. Regarding the manifest disproportion between the connection price and the corresponding service cost, the applicant merely provides the percentage increases observed on the concerned tariffs at the time of the tariff change in July 2001, with a 46% increase for the blue tariff and a 121% increase for the yellow tariff.  </w:t>
        <w:br/>
        <w:t xml:space="preserve">11. For its part, Electricité de Strasbourg specifies that the new pricing policy, implemented from July 2001, led it to align its prices with costs, first explaining why the old tariffs were modified: "In fact, the tariffs had not been revised for many years and no longer corresponded to the actual costs represented by the realization of these temporary connections. A consultation process had been initiated, starting in 2000, with the Federation of Public Works (site connections) and with the Professional Union of Fairground Operators. In parallel with the price, we also reviewed organizational aspects to simplify the management of connections by customers," (...), then, secondly, the criteria on which the new system is based, which notably takes into account the requested power, which was not the case previously: "the old system was based on demand, either isolated or grouped and based on working days or not. Today, the new scale distinguishes between the requested power (less than 36 kVA, it will be a blue tariff; more than 36 kVA, it will be a yellow tariff) always in a logic of aligning with our costs (for a permanent connection, this distinction also exists), between the nature of our overhead network or not, and especially regarding the date of the request."  </w:t>
        <w:br/>
        <w:t xml:space="preserve">12. It follows that the increase, made in 2001, could be justified by a more realistic consideration of the actual connection costs and that the finding of a manifest disproportion between the price and the value of the corresponding service is not supported by any probative element. Furthermore, it should be noted that the effect of the increases in question must be relativized in light of the absolute amount to which the percentages mentioned by the applicant apply and which does not exceed a few dozen euros.  </w:t>
        <w:br/>
        <w:t xml:space="preserve">13. Moreover, by applying the comparative method, it is noted that Electricité de Strasbourg charges rates comparable to those of other non-nationalized distributors (DNN) or EDF. For example, the connection rates of Electricité de Grenoble were, at the same time, €53.20 compared to €64.80 for Electricité de Strasbourg (these rates do not include the possibility of a 20% reduction for defined standby days for each fair and a 10% discount in case of direct debit). Regarding EDF, according to Electricité de Strasbourg: "[the] calculation of the costs of temporary connections led EDF to increase its rates by even greater proportions. Except in special cases, the prices charged by EDF since 2003 are higher than those of ES. For example, the price cited by Regal Pat of €64.80 is listed in EDF's service catalog at €106.00."  </w:t>
        <w:br/>
        <w:t>14. Under these conditions, it is not established that the level of prices charged for temporary connections was manifestly excessive. Therefore, without the need to investigate whether the level of these prices could have an anti-competitive object or effect, it is also not established that the company Electricité de Strasbourg engaged in an abuse of its dominant position.</w:t>
      </w:r>
    </w:p>
    <w:p>
      <w:r>
        <w:rPr>
          <w:b/>
        </w:rPr>
        <w:t>[Pages 4–4]</w:t>
      </w:r>
    </w:p>
    <w:p>
      <w:r>
        <w:t xml:space="preserve">B. ON THE MANDATORY BILLING FOR THE RENTAL OF THE MEASURING DEVICE  </w:t>
        <w:br/>
        <w:t xml:space="preserve">15. According to the applicant, the mandatory billing for the rental of the measuring device would also constitute an abuse, as it would be systematic even in the absence of the provision of the service.  </w:t>
        <w:br/>
        <w:t xml:space="preserve">16. However, it is undisputed that the installation of a measuring device is necessary to bill for energy consumption, nor can it be contested that this installation may be billed either as a whole or separately, at the time of the installation of a temporary connection.  </w:t>
        <w:br/>
        <w:t xml:space="preserve">17. As Electricité de Strasbourg indicates: "The measuring devices installed are billed. The situation mentioned by the complainant (non-existent measuring devices that are nonetheless billed) is unknown to Electricité de Strasbourg. The connection technique used is standard and indeed provides for these measuring devices in all cases."  </w:t>
        <w:br/>
        <w:t xml:space="preserve">18. No element in the file allows for the establishment that the mandatory billing for the rental of the measuring device, at the price of €11.75, could constitute an abuse by the company Electricité de Strasbourg.  </w:t>
        <w:br/>
        <w:t xml:space="preserve">C. CONCLUSION  </w:t>
        <w:br/>
        <w:t xml:space="preserve">19. It follows from the above that it is appropriate to apply the provisions of Article L. 462-8, paragraph 2, of the aforementioned Commercial Code.  </w:t>
        <w:br/>
        <w:t xml:space="preserve">DECISION  </w:t>
        <w:br/>
        <w:t xml:space="preserve">Sole Article: The application of the company Regal Pat is rejected.  </w:t>
        <w:br/>
        <w:t xml:space="preserve">Deliberated on the oral report of Ms. Wibaux, by Mr. Lasserre, president, Mr. Nasse, Ms. Aubert, and Ms. Perrot,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