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https://www.autoritedelaconcurrence.fr/fr/decision/relative-une-saisine-de-la-societe-sematec-contre-les-pratiques-de-la-societe-newell</w:t>
      </w:r>
    </w:p>
    <w:p>
      <w:r>
        <w:t>Pages translated : 3</w:t>
      </w:r>
    </w:p>
    <w:p/>
    <w:p>
      <w:r>
        <w:rPr>
          <w:b/>
        </w:rPr>
        <w:t>[Pages 1–3]</w:t>
      </w:r>
    </w:p>
    <w:p>
      <w:r>
        <w:t xml:space="preserve">FRENCH REPUBLIC  </w:t>
        <w:br/>
        <w:t xml:space="preserve">Decision No. 04-D-11 of April 6, 2004  </w:t>
        <w:br/>
        <w:t xml:space="preserve">regarding an application by SEMATEC against the practices  </w:t>
        <w:br/>
        <w:t>of Newell Window Fashions Germany (Gmbh)</w:t>
      </w:r>
    </w:p>
    <w:p>
      <w:r>
        <w:t xml:space="preserve">The Competition Council (permanent commission),  </w:t>
        <w:br/>
        <w:t xml:space="preserve">Having regard to the letter registered on October 16, 2001, under number F 1352, by which SEMATEC Sarl referred to the Competition Council practices attributable to Newell Window Fashions Germany;  </w:t>
        <w:br/>
        <w:t xml:space="preserve">Having regard to Book IV of the Commercial Code, relating to price freedom and competition, and Decree No. 2002-689 of April 30, 2002, setting its conditions of application;  </w:t>
        <w:br/>
        <w:t xml:space="preserve">Having regard to the other documents in the file;  </w:t>
        <w:br/>
        <w:t xml:space="preserve">The reporting judge, the general rapporteur, the Government commissioner, and the representative of SEMATEC Sarl heard during the session of February 17, 2004;  </w:t>
        <w:br/>
        <w:t>Adopts the following decision:</w:t>
      </w:r>
    </w:p>
    <w:p>
      <w:r>
        <w:t xml:space="preserve">I. Findings  </w:t>
        <w:br/>
        <w:t xml:space="preserve">1. SEMATEC manufactures and markets decorative items, particularly curtain accessories, blinds, and flooring materials. On April 1, 1991, the Gardinia group, having to cease its activities in France, granted SEMATEC exclusivity for the sale of its products in France and in the French-speaking Belgian provinces. Concluded for a duration of three years, this contract included, for the subsequent period, a tacit renewal clause from year to year.  </w:t>
        <w:br/>
        <w:t xml:space="preserve">2. By letter dated December 22, 1995, Gardinia notified SEMATEC of its intention to terminate this collaboration. A settlement agreement was ratified on December 18, 1997, by the High Court of Colmar, terminating the initial exclusivity contract and providing for the continuation of contractual relations based on a price guaranteeing SEMATEC's margin in the resale of Gardinia products. In September 1998, Gardinia became Newell Window Fashions Germany (hereinafter Newell).  </w:t>
        <w:br/>
        <w:t xml:space="preserve">3. SEMATEC asserts that Newell has not respected its contractual commitments, on the one hand, by initially implementing untimely price increases, and on the other hand, by interrupting its deliveries starting from May 2000. More generally, the applicant invokes the discriminatory and abusive behavior of Newell, which, since the termination of the 1997 agreement, has not communicated its new rates to them.  </w:t>
        <w:br/>
        <w:t xml:space="preserve">4. Prior to the current application, SEMATEC had initiated legal proceedings which led to an interim order dated July 31, 2000, by which Newell was ordered to fulfill its deliveries. By judgment dated May 3, 2001, the Commercial Court of Colmar condemned Newell to pay SEMATEC 1,350,000 F as damages on the grounds that "the unilateral and sudden modification of the practices in force between the parties constitutes an abuse as it is part of a general behavior on the part of the defendant company aimed at upsetting the usual relations maintained between the parties..."  </w:t>
        <w:br/>
        <w:t xml:space="preserve">5. The practices denounced by SEMATEC, which consist of untimely price increases, delivery delays, and the non-communication of rates, are, according to it, constitutive of an abuse of the dominant position that Newell would hold in the market for interior decoration accessories.  </w:t>
        <w:br/>
        <w:t xml:space="preserve">6. The applicant company, which asserts that the practices denounced have caused it serious financial difficulties, was placed in judicial liquidation by judgment of the TGI of Colmar dated May 14, 2002.  </w:t>
        <w:br/>
        <w:t>7. By supplementary conclusions dated October 6, 2002, SEMATEC specifies that it had long sourced at least 70% of its needs from Gardinia, now Newell, which was also its exclusive supplier for a number of interior decoration products such as curtain rods, and further invokes the abuse of dominant position and the state of economic dependence in which it found itself in relation to Newell.</w:t>
      </w:r>
    </w:p>
    <w:p>
      <w:r>
        <w:t xml:space="preserve">II. Discussion  </w:t>
        <w:br/>
        <w:t xml:space="preserve">8. Pursuant to Article L. 462-8 of the Commercial Code, the Competition Council may "reject the application by reasoned decision when it considers that the facts invoked are not supported by convincing arguments."  </w:t>
        <w:br/>
        <w:t xml:space="preserve">A. REGARDING ABUSE OF DOMINANT POSITION  </w:t>
        <w:br/>
        <w:t xml:space="preserve">9. The applicant denounces practices that could constitute breaches by Newell in the execution of its contractual obligations but does not specify the market on which Newell would be in a dominant position and does not provide any economic arguments to demonstrate such a position. It asserts that Newell would have been its exclusive supplier for a number of products such as curtain rods and accessories and mentions the French market for interior decoration supplies without providing a precise definition. Therefore, it does not provide any elements capable of establishing a dominant position of Newell in a clearly identified market. Consequently, the facts alleged against this company are not supported by sufficiently convincing elements to qualify them as anti-competitive practices prohibited by Article L. 420-2 of the Commercial Code.  </w:t>
        <w:br/>
        <w:t xml:space="preserve">B. REGARDING ABUSE OF ECONOMIC DEPENDENCE  </w:t>
        <w:br/>
        <w:t xml:space="preserve">10. To demonstrate the evolution of the share of Newell products in the amount of its purchases, SEMATEC provides simple handwritten documents and not accounting documents, which show that more than 90% of its purchases were made from Gardinia/Newell in 1997, while SEMATEC was bound to Newell by an exclusivity contract. However, once this contract was terminated, the figures significantly decreased: 37% in 1998, 42% in 1999, 49% in 2000, and 11% in 2001. This last figure is, however, less significant, given the decline in SEMATEC's activity.  </w:t>
        <w:br/>
        <w:t xml:space="preserve">11. The value distribution of SEMATEC's purchases over these years shows that the decrease in purchases made from Newell was compensated by purchases made from other suppliers. Indeed, this amount was only 0.1 MF in 1997 while the exclusivity contract was in effect, but it rose to 1.9 MF as early as 1998, 1.7 MF in 1999, and reached approximately 1.2 MF in 2000 and 2001. These figures, while showing the importance of Newell's market share in SEMATEC's turnover during the exclusivity contract, do not establish the difficulty for SEMATEC in finding other suppliers of equivalent products once this contract was terminated. The economic dependence alleged by SEMATEC in relation to Newell, which notably presupposes that the share of the products in question in the turnover of the company invoking dependence does not result from a deliberate choice of commercial policy, is therefore also not supported by sufficiently convincing elements.  </w:t>
        <w:br/>
        <w:t>12. It follows from the above that, pursuant to the aforementioned Article L. 462-8, the request must be rejected for lack of sufficiently convincing elements.</w:t>
      </w:r>
    </w:p>
    <w:p>
      <w:r>
        <w:t xml:space="preserve">DECISION  </w:t>
        <w:br/>
        <w:t xml:space="preserve">Single Article – The application by SEMATEC Sarl is rejected.  </w:t>
        <w:br/>
        <w:t xml:space="preserve">Deliberated, on the oral report of Ms. Chaulet-Philippe, by Ms. Hagelsteen, president, Ms. Pasturel and Mr. Nasse, vice-presidents.  </w:t>
        <w:br/>
        <w:t xml:space="preserve">The session secretary, The president,  </w:t>
        <w:br/>
        <w:t xml:space="preserve">Christine Charron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